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一、石家庄市鹿泉区医疗保障局本级收支预算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二、石家庄市鹿泉区医疗保险管理中心收支预算</w:t>
      </w:r>
      <w:r>
        <w:tab/>
      </w:r>
      <w:r>
        <w:fldChar w:fldCharType="begin"/>
      </w:r>
      <w:r>
        <w:instrText xml:space="preserve">PAGEREF _Toc_4_4_0000000002 \h</w:instrText>
      </w:r>
      <w:r>
        <w:fldChar w:fldCharType="separate"/>
      </w:r>
      <w:r>
        <w:t>3</w:t>
      </w:r>
      <w:r>
        <w:rPr>
          <w:rFonts w:hint="eastAsia"/>
          <w:lang w:val="en-US" w:eastAsia="zh-CN"/>
        </w:rPr>
        <w:t>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736.01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736.01</w:t>
            </w:r>
          </w:p>
        </w:tc>
        <w:tc>
          <w:tcPr>
            <w:tcW w:w="4535" w:type="dxa"/>
            <w:vAlign w:val="center"/>
          </w:tcPr>
          <w:p>
            <w:pPr>
              <w:pStyle w:val="14"/>
            </w:pPr>
            <w:r>
              <w:t>本年支出合计</w:t>
            </w:r>
          </w:p>
        </w:tc>
        <w:tc>
          <w:tcPr>
            <w:tcW w:w="2126" w:type="dxa"/>
            <w:vAlign w:val="center"/>
          </w:tcPr>
          <w:p>
            <w:pPr>
              <w:pStyle w:val="15"/>
            </w:pPr>
            <w:r>
              <w:t>736.01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736.01</w:t>
            </w:r>
          </w:p>
        </w:tc>
        <w:tc>
          <w:tcPr>
            <w:tcW w:w="4535" w:type="dxa"/>
            <w:vAlign w:val="center"/>
          </w:tcPr>
          <w:p>
            <w:pPr>
              <w:pStyle w:val="14"/>
            </w:pPr>
            <w:r>
              <w:t>支出总计</w:t>
            </w:r>
          </w:p>
        </w:tc>
        <w:tc>
          <w:tcPr>
            <w:tcW w:w="2126" w:type="dxa"/>
            <w:vAlign w:val="center"/>
          </w:tcPr>
          <w:p>
            <w:pPr>
              <w:pStyle w:val="15"/>
            </w:pPr>
            <w:r>
              <w:t>736.01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736.01</w:t>
            </w:r>
          </w:p>
        </w:tc>
        <w:tc>
          <w:tcPr>
            <w:tcW w:w="1134" w:type="dxa"/>
            <w:vAlign w:val="center"/>
          </w:tcPr>
          <w:p>
            <w:pPr>
              <w:pStyle w:val="15"/>
            </w:pPr>
            <w:r>
              <w:t>736.01</w:t>
            </w:r>
          </w:p>
        </w:tc>
        <w:tc>
          <w:tcPr>
            <w:tcW w:w="1134" w:type="dxa"/>
            <w:vAlign w:val="center"/>
          </w:tcPr>
          <w:p>
            <w:pPr>
              <w:pStyle w:val="15"/>
            </w:pPr>
            <w:r>
              <w:t>736.01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27.39</w:t>
            </w:r>
          </w:p>
        </w:tc>
        <w:tc>
          <w:tcPr>
            <w:tcW w:w="1134" w:type="dxa"/>
            <w:vAlign w:val="center"/>
          </w:tcPr>
          <w:p>
            <w:pPr>
              <w:pStyle w:val="11"/>
            </w:pPr>
            <w:r>
              <w:t>27.39</w:t>
            </w:r>
          </w:p>
        </w:tc>
        <w:tc>
          <w:tcPr>
            <w:tcW w:w="1134" w:type="dxa"/>
            <w:vAlign w:val="center"/>
          </w:tcPr>
          <w:p>
            <w:pPr>
              <w:pStyle w:val="11"/>
            </w:pPr>
            <w:r>
              <w:t>27.39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15.39</w:t>
            </w:r>
          </w:p>
        </w:tc>
        <w:tc>
          <w:tcPr>
            <w:tcW w:w="1134" w:type="dxa"/>
            <w:vAlign w:val="center"/>
          </w:tcPr>
          <w:p>
            <w:pPr>
              <w:pStyle w:val="11"/>
            </w:pPr>
            <w:r>
              <w:t>15.39</w:t>
            </w:r>
          </w:p>
        </w:tc>
        <w:tc>
          <w:tcPr>
            <w:tcW w:w="1134" w:type="dxa"/>
            <w:vAlign w:val="center"/>
          </w:tcPr>
          <w:p>
            <w:pPr>
              <w:pStyle w:val="11"/>
            </w:pPr>
            <w:r>
              <w:t>15.39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4.56</w:t>
            </w:r>
          </w:p>
        </w:tc>
        <w:tc>
          <w:tcPr>
            <w:tcW w:w="1134" w:type="dxa"/>
            <w:vAlign w:val="center"/>
          </w:tcPr>
          <w:p>
            <w:pPr>
              <w:pStyle w:val="11"/>
            </w:pPr>
            <w:r>
              <w:t>4.56</w:t>
            </w:r>
          </w:p>
        </w:tc>
        <w:tc>
          <w:tcPr>
            <w:tcW w:w="1134" w:type="dxa"/>
            <w:vAlign w:val="center"/>
          </w:tcPr>
          <w:p>
            <w:pPr>
              <w:pStyle w:val="11"/>
            </w:pPr>
            <w:r>
              <w:t>4.56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10.84</w:t>
            </w:r>
          </w:p>
        </w:tc>
        <w:tc>
          <w:tcPr>
            <w:tcW w:w="1134" w:type="dxa"/>
            <w:vAlign w:val="center"/>
          </w:tcPr>
          <w:p>
            <w:pPr>
              <w:pStyle w:val="11"/>
            </w:pPr>
            <w:r>
              <w:t>10.84</w:t>
            </w:r>
          </w:p>
        </w:tc>
        <w:tc>
          <w:tcPr>
            <w:tcW w:w="1134" w:type="dxa"/>
            <w:vAlign w:val="center"/>
          </w:tcPr>
          <w:p>
            <w:pPr>
              <w:pStyle w:val="11"/>
            </w:pPr>
            <w:r>
              <w:t>10.84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697.73</w:t>
            </w:r>
          </w:p>
        </w:tc>
        <w:tc>
          <w:tcPr>
            <w:tcW w:w="1134" w:type="dxa"/>
            <w:vAlign w:val="center"/>
          </w:tcPr>
          <w:p>
            <w:pPr>
              <w:pStyle w:val="11"/>
            </w:pPr>
            <w:r>
              <w:t>697.73</w:t>
            </w:r>
          </w:p>
        </w:tc>
        <w:tc>
          <w:tcPr>
            <w:tcW w:w="1134" w:type="dxa"/>
            <w:vAlign w:val="center"/>
          </w:tcPr>
          <w:p>
            <w:pPr>
              <w:pStyle w:val="11"/>
            </w:pPr>
            <w:r>
              <w:t>697.73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2101201</w:t>
            </w:r>
          </w:p>
        </w:tc>
        <w:tc>
          <w:tcPr>
            <w:tcW w:w="1559" w:type="dxa"/>
            <w:vAlign w:val="center"/>
          </w:tcPr>
          <w:p>
            <w:pPr>
              <w:pStyle w:val="12"/>
            </w:pPr>
            <w:r>
              <w:t>财政对职工基本医疗保险基金的补助</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432.00</w:t>
            </w:r>
          </w:p>
        </w:tc>
        <w:tc>
          <w:tcPr>
            <w:tcW w:w="1134" w:type="dxa"/>
            <w:vAlign w:val="center"/>
          </w:tcPr>
          <w:p>
            <w:pPr>
              <w:pStyle w:val="11"/>
            </w:pPr>
            <w:r>
              <w:t>432.00</w:t>
            </w:r>
          </w:p>
        </w:tc>
        <w:tc>
          <w:tcPr>
            <w:tcW w:w="1134" w:type="dxa"/>
            <w:vAlign w:val="center"/>
          </w:tcPr>
          <w:p>
            <w:pPr>
              <w:pStyle w:val="11"/>
            </w:pPr>
            <w:r>
              <w:t>432.00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432.00</w:t>
            </w:r>
          </w:p>
        </w:tc>
        <w:tc>
          <w:tcPr>
            <w:tcW w:w="1134" w:type="dxa"/>
            <w:vAlign w:val="center"/>
          </w:tcPr>
          <w:p>
            <w:pPr>
              <w:pStyle w:val="11"/>
            </w:pPr>
            <w:r>
              <w:t>432.00</w:t>
            </w:r>
          </w:p>
        </w:tc>
        <w:tc>
          <w:tcPr>
            <w:tcW w:w="1134" w:type="dxa"/>
            <w:vAlign w:val="center"/>
          </w:tcPr>
          <w:p>
            <w:pPr>
              <w:pStyle w:val="11"/>
            </w:pPr>
            <w:r>
              <w:t>432.00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229.83</w:t>
            </w:r>
          </w:p>
        </w:tc>
        <w:tc>
          <w:tcPr>
            <w:tcW w:w="1134" w:type="dxa"/>
            <w:vAlign w:val="center"/>
          </w:tcPr>
          <w:p>
            <w:pPr>
              <w:pStyle w:val="11"/>
            </w:pPr>
            <w:r>
              <w:t>229.83</w:t>
            </w:r>
          </w:p>
        </w:tc>
        <w:tc>
          <w:tcPr>
            <w:tcW w:w="1134" w:type="dxa"/>
            <w:vAlign w:val="center"/>
          </w:tcPr>
          <w:p>
            <w:pPr>
              <w:pStyle w:val="11"/>
            </w:pPr>
            <w:r>
              <w:t>229.83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175.83</w:t>
            </w:r>
          </w:p>
        </w:tc>
        <w:tc>
          <w:tcPr>
            <w:tcW w:w="1134" w:type="dxa"/>
            <w:vAlign w:val="center"/>
          </w:tcPr>
          <w:p>
            <w:pPr>
              <w:pStyle w:val="11"/>
            </w:pPr>
            <w:r>
              <w:t>175.83</w:t>
            </w:r>
          </w:p>
        </w:tc>
        <w:tc>
          <w:tcPr>
            <w:tcW w:w="1134" w:type="dxa"/>
            <w:vAlign w:val="center"/>
          </w:tcPr>
          <w:p>
            <w:pPr>
              <w:pStyle w:val="11"/>
            </w:pPr>
            <w:r>
              <w:t>175.83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2101506</w:t>
            </w:r>
          </w:p>
        </w:tc>
        <w:tc>
          <w:tcPr>
            <w:tcW w:w="1559" w:type="dxa"/>
            <w:vAlign w:val="center"/>
          </w:tcPr>
          <w:p>
            <w:pPr>
              <w:pStyle w:val="12"/>
            </w:pPr>
            <w:r>
              <w:t>医疗保障经办事务</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736.01</w:t>
            </w:r>
          </w:p>
        </w:tc>
        <w:tc>
          <w:tcPr>
            <w:tcW w:w="1361" w:type="dxa"/>
            <w:vAlign w:val="center"/>
          </w:tcPr>
          <w:p>
            <w:pPr>
              <w:pStyle w:val="15"/>
            </w:pPr>
            <w:r>
              <w:t>210.01</w:t>
            </w:r>
          </w:p>
        </w:tc>
        <w:tc>
          <w:tcPr>
            <w:tcW w:w="1361" w:type="dxa"/>
            <w:vAlign w:val="center"/>
          </w:tcPr>
          <w:p>
            <w:pPr>
              <w:pStyle w:val="15"/>
            </w:pPr>
            <w:r>
              <w:t>526.00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27.39</w:t>
            </w:r>
          </w:p>
        </w:tc>
        <w:tc>
          <w:tcPr>
            <w:tcW w:w="1361" w:type="dxa"/>
            <w:vAlign w:val="center"/>
          </w:tcPr>
          <w:p>
            <w:pPr>
              <w:pStyle w:val="11"/>
            </w:pPr>
            <w:r>
              <w:t>15.39</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15.39</w:t>
            </w:r>
          </w:p>
        </w:tc>
        <w:tc>
          <w:tcPr>
            <w:tcW w:w="1361" w:type="dxa"/>
            <w:vAlign w:val="center"/>
          </w:tcPr>
          <w:p>
            <w:pPr>
              <w:pStyle w:val="11"/>
            </w:pPr>
            <w:r>
              <w:t>15.39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4.56</w:t>
            </w:r>
          </w:p>
        </w:tc>
        <w:tc>
          <w:tcPr>
            <w:tcW w:w="1361" w:type="dxa"/>
            <w:vAlign w:val="center"/>
          </w:tcPr>
          <w:p>
            <w:pPr>
              <w:pStyle w:val="11"/>
            </w:pPr>
            <w:r>
              <w:t>4.56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10.84</w:t>
            </w:r>
          </w:p>
        </w:tc>
        <w:tc>
          <w:tcPr>
            <w:tcW w:w="1361" w:type="dxa"/>
            <w:vAlign w:val="center"/>
          </w:tcPr>
          <w:p>
            <w:pPr>
              <w:pStyle w:val="11"/>
            </w:pPr>
            <w:r>
              <w:t>10.84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697.73</w:t>
            </w:r>
          </w:p>
        </w:tc>
        <w:tc>
          <w:tcPr>
            <w:tcW w:w="1361" w:type="dxa"/>
            <w:vAlign w:val="center"/>
          </w:tcPr>
          <w:p>
            <w:pPr>
              <w:pStyle w:val="11"/>
            </w:pPr>
            <w:r>
              <w:t>183.73</w:t>
            </w:r>
          </w:p>
        </w:tc>
        <w:tc>
          <w:tcPr>
            <w:tcW w:w="1361" w:type="dxa"/>
            <w:vAlign w:val="center"/>
          </w:tcPr>
          <w:p>
            <w:pPr>
              <w:pStyle w:val="11"/>
            </w:pPr>
            <w:r>
              <w:t>514.00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2101201</w:t>
            </w:r>
          </w:p>
        </w:tc>
        <w:tc>
          <w:tcPr>
            <w:tcW w:w="4535" w:type="dxa"/>
            <w:vAlign w:val="center"/>
          </w:tcPr>
          <w:p>
            <w:pPr>
              <w:pStyle w:val="12"/>
            </w:pPr>
            <w:r>
              <w:t>财政对职工基本医疗保险基金的补助</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432.00</w:t>
            </w:r>
          </w:p>
        </w:tc>
        <w:tc>
          <w:tcPr>
            <w:tcW w:w="1361" w:type="dxa"/>
            <w:vAlign w:val="center"/>
          </w:tcPr>
          <w:p>
            <w:pPr>
              <w:pStyle w:val="11"/>
            </w:pPr>
          </w:p>
        </w:tc>
        <w:tc>
          <w:tcPr>
            <w:tcW w:w="1361" w:type="dxa"/>
            <w:vAlign w:val="center"/>
          </w:tcPr>
          <w:p>
            <w:pPr>
              <w:pStyle w:val="11"/>
            </w:pPr>
            <w:r>
              <w:t>432.00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2101301</w:t>
            </w:r>
          </w:p>
        </w:tc>
        <w:tc>
          <w:tcPr>
            <w:tcW w:w="4535" w:type="dxa"/>
            <w:vAlign w:val="center"/>
          </w:tcPr>
          <w:p>
            <w:pPr>
              <w:pStyle w:val="12"/>
            </w:pPr>
            <w:r>
              <w:t>城乡医疗救助</w:t>
            </w:r>
          </w:p>
        </w:tc>
        <w:tc>
          <w:tcPr>
            <w:tcW w:w="1361" w:type="dxa"/>
            <w:vAlign w:val="center"/>
          </w:tcPr>
          <w:p>
            <w:pPr>
              <w:pStyle w:val="11"/>
            </w:pPr>
            <w:r>
              <w:t>432.00</w:t>
            </w:r>
          </w:p>
        </w:tc>
        <w:tc>
          <w:tcPr>
            <w:tcW w:w="1361" w:type="dxa"/>
            <w:vAlign w:val="center"/>
          </w:tcPr>
          <w:p>
            <w:pPr>
              <w:pStyle w:val="11"/>
            </w:pPr>
          </w:p>
        </w:tc>
        <w:tc>
          <w:tcPr>
            <w:tcW w:w="1361" w:type="dxa"/>
            <w:vAlign w:val="center"/>
          </w:tcPr>
          <w:p>
            <w:pPr>
              <w:pStyle w:val="11"/>
            </w:pPr>
            <w:r>
              <w:t>432.00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229.83</w:t>
            </w:r>
          </w:p>
        </w:tc>
        <w:tc>
          <w:tcPr>
            <w:tcW w:w="1361" w:type="dxa"/>
            <w:vAlign w:val="center"/>
          </w:tcPr>
          <w:p>
            <w:pPr>
              <w:pStyle w:val="11"/>
            </w:pPr>
            <w:r>
              <w:t>175.83</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175.83</w:t>
            </w:r>
          </w:p>
        </w:tc>
        <w:tc>
          <w:tcPr>
            <w:tcW w:w="1361" w:type="dxa"/>
            <w:vAlign w:val="center"/>
          </w:tcPr>
          <w:p>
            <w:pPr>
              <w:pStyle w:val="11"/>
            </w:pPr>
            <w:r>
              <w:t>175.83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2101506</w:t>
            </w:r>
          </w:p>
        </w:tc>
        <w:tc>
          <w:tcPr>
            <w:tcW w:w="4535" w:type="dxa"/>
            <w:vAlign w:val="center"/>
          </w:tcPr>
          <w:p>
            <w:pPr>
              <w:pStyle w:val="12"/>
            </w:pPr>
            <w:r>
              <w:t>医疗保障经办事务</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10.89</w:t>
            </w:r>
          </w:p>
        </w:tc>
        <w:tc>
          <w:tcPr>
            <w:tcW w:w="1361" w:type="dxa"/>
            <w:vAlign w:val="center"/>
          </w:tcPr>
          <w:p>
            <w:pPr>
              <w:pStyle w:val="11"/>
            </w:pPr>
            <w:r>
              <w:t>10.89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10.89</w:t>
            </w:r>
          </w:p>
        </w:tc>
        <w:tc>
          <w:tcPr>
            <w:tcW w:w="1361" w:type="dxa"/>
            <w:vAlign w:val="center"/>
          </w:tcPr>
          <w:p>
            <w:pPr>
              <w:pStyle w:val="11"/>
            </w:pPr>
            <w:r>
              <w:t>10.89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10.89</w:t>
            </w:r>
          </w:p>
        </w:tc>
        <w:tc>
          <w:tcPr>
            <w:tcW w:w="1361" w:type="dxa"/>
            <w:vAlign w:val="center"/>
          </w:tcPr>
          <w:p>
            <w:pPr>
              <w:pStyle w:val="11"/>
            </w:pPr>
            <w:r>
              <w:t>10.89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736.01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27.39</w:t>
            </w:r>
          </w:p>
        </w:tc>
        <w:tc>
          <w:tcPr>
            <w:tcW w:w="1474" w:type="dxa"/>
            <w:vAlign w:val="center"/>
          </w:tcPr>
          <w:p>
            <w:pPr>
              <w:pStyle w:val="11"/>
            </w:pPr>
            <w:r>
              <w:t>27.39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697.73</w:t>
            </w:r>
          </w:p>
        </w:tc>
        <w:tc>
          <w:tcPr>
            <w:tcW w:w="1474" w:type="dxa"/>
            <w:vAlign w:val="center"/>
          </w:tcPr>
          <w:p>
            <w:pPr>
              <w:pStyle w:val="11"/>
            </w:pPr>
            <w:r>
              <w:t>697.73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10.89</w:t>
            </w:r>
          </w:p>
        </w:tc>
        <w:tc>
          <w:tcPr>
            <w:tcW w:w="1474" w:type="dxa"/>
            <w:vAlign w:val="center"/>
          </w:tcPr>
          <w:p>
            <w:pPr>
              <w:pStyle w:val="11"/>
            </w:pPr>
            <w:r>
              <w:t>10.89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736.01</w:t>
            </w:r>
          </w:p>
        </w:tc>
        <w:tc>
          <w:tcPr>
            <w:tcW w:w="3402" w:type="dxa"/>
            <w:vAlign w:val="center"/>
          </w:tcPr>
          <w:p>
            <w:pPr>
              <w:pStyle w:val="14"/>
            </w:pPr>
            <w:r>
              <w:t>本年支出合计</w:t>
            </w:r>
          </w:p>
        </w:tc>
        <w:tc>
          <w:tcPr>
            <w:tcW w:w="1474" w:type="dxa"/>
            <w:vAlign w:val="center"/>
          </w:tcPr>
          <w:p>
            <w:pPr>
              <w:pStyle w:val="15"/>
            </w:pPr>
            <w:r>
              <w:t>736.01</w:t>
            </w:r>
          </w:p>
        </w:tc>
        <w:tc>
          <w:tcPr>
            <w:tcW w:w="1474" w:type="dxa"/>
            <w:vAlign w:val="center"/>
          </w:tcPr>
          <w:p>
            <w:pPr>
              <w:pStyle w:val="15"/>
            </w:pPr>
            <w:r>
              <w:t>736.01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736.01</w:t>
            </w:r>
          </w:p>
        </w:tc>
        <w:tc>
          <w:tcPr>
            <w:tcW w:w="3402" w:type="dxa"/>
            <w:vAlign w:val="center"/>
          </w:tcPr>
          <w:p>
            <w:pPr>
              <w:pStyle w:val="14"/>
            </w:pPr>
            <w:r>
              <w:t>支出总计</w:t>
            </w:r>
          </w:p>
        </w:tc>
        <w:tc>
          <w:tcPr>
            <w:tcW w:w="1474" w:type="dxa"/>
            <w:vAlign w:val="center"/>
          </w:tcPr>
          <w:p>
            <w:pPr>
              <w:pStyle w:val="15"/>
            </w:pPr>
            <w:r>
              <w:t>736.01</w:t>
            </w:r>
          </w:p>
        </w:tc>
        <w:tc>
          <w:tcPr>
            <w:tcW w:w="1474" w:type="dxa"/>
            <w:vAlign w:val="center"/>
          </w:tcPr>
          <w:p>
            <w:pPr>
              <w:pStyle w:val="15"/>
            </w:pPr>
            <w:r>
              <w:t>736.01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736.01</w:t>
            </w:r>
          </w:p>
        </w:tc>
        <w:tc>
          <w:tcPr>
            <w:tcW w:w="2551" w:type="dxa"/>
            <w:vAlign w:val="center"/>
          </w:tcPr>
          <w:p>
            <w:pPr>
              <w:pStyle w:val="15"/>
            </w:pPr>
            <w:r>
              <w:t>210.01</w:t>
            </w:r>
          </w:p>
        </w:tc>
        <w:tc>
          <w:tcPr>
            <w:tcW w:w="2551" w:type="dxa"/>
            <w:vAlign w:val="center"/>
          </w:tcPr>
          <w:p>
            <w:pPr>
              <w:pStyle w:val="15"/>
            </w:pPr>
            <w:r>
              <w:t>526.00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27.39</w:t>
            </w:r>
          </w:p>
        </w:tc>
        <w:tc>
          <w:tcPr>
            <w:tcW w:w="2551" w:type="dxa"/>
            <w:vAlign w:val="center"/>
          </w:tcPr>
          <w:p>
            <w:pPr>
              <w:pStyle w:val="11"/>
            </w:pPr>
            <w:r>
              <w:t>15.39</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15.39</w:t>
            </w:r>
          </w:p>
        </w:tc>
        <w:tc>
          <w:tcPr>
            <w:tcW w:w="2551" w:type="dxa"/>
            <w:vAlign w:val="center"/>
          </w:tcPr>
          <w:p>
            <w:pPr>
              <w:pStyle w:val="11"/>
            </w:pPr>
            <w:r>
              <w:t>15.39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10.84</w:t>
            </w:r>
          </w:p>
        </w:tc>
        <w:tc>
          <w:tcPr>
            <w:tcW w:w="2551" w:type="dxa"/>
            <w:vAlign w:val="center"/>
          </w:tcPr>
          <w:p>
            <w:pPr>
              <w:pStyle w:val="11"/>
            </w:pPr>
            <w:r>
              <w:t>10.84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697.73</w:t>
            </w:r>
          </w:p>
        </w:tc>
        <w:tc>
          <w:tcPr>
            <w:tcW w:w="2551" w:type="dxa"/>
            <w:vAlign w:val="center"/>
          </w:tcPr>
          <w:p>
            <w:pPr>
              <w:pStyle w:val="11"/>
            </w:pPr>
            <w:r>
              <w:t>183.73</w:t>
            </w:r>
          </w:p>
        </w:tc>
        <w:tc>
          <w:tcPr>
            <w:tcW w:w="2551" w:type="dxa"/>
            <w:vAlign w:val="center"/>
          </w:tcPr>
          <w:p>
            <w:pPr>
              <w:pStyle w:val="11"/>
            </w:pPr>
            <w:r>
              <w:t>514.00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2101201</w:t>
            </w:r>
          </w:p>
        </w:tc>
        <w:tc>
          <w:tcPr>
            <w:tcW w:w="4535" w:type="dxa"/>
            <w:vAlign w:val="center"/>
          </w:tcPr>
          <w:p>
            <w:pPr>
              <w:pStyle w:val="12"/>
            </w:pPr>
            <w:r>
              <w:t>财政对职工基本医疗保险基金的补助</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432.00</w:t>
            </w:r>
          </w:p>
        </w:tc>
        <w:tc>
          <w:tcPr>
            <w:tcW w:w="2551" w:type="dxa"/>
            <w:vAlign w:val="center"/>
          </w:tcPr>
          <w:p>
            <w:pPr>
              <w:pStyle w:val="11"/>
            </w:pPr>
          </w:p>
        </w:tc>
        <w:tc>
          <w:tcPr>
            <w:tcW w:w="2551" w:type="dxa"/>
            <w:vAlign w:val="center"/>
          </w:tcPr>
          <w:p>
            <w:pPr>
              <w:pStyle w:val="11"/>
            </w:pPr>
            <w:r>
              <w:t>432.00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432.00</w:t>
            </w:r>
          </w:p>
        </w:tc>
        <w:tc>
          <w:tcPr>
            <w:tcW w:w="2551" w:type="dxa"/>
            <w:vAlign w:val="center"/>
          </w:tcPr>
          <w:p>
            <w:pPr>
              <w:pStyle w:val="11"/>
            </w:pPr>
          </w:p>
        </w:tc>
        <w:tc>
          <w:tcPr>
            <w:tcW w:w="2551" w:type="dxa"/>
            <w:vAlign w:val="center"/>
          </w:tcPr>
          <w:p>
            <w:pPr>
              <w:pStyle w:val="11"/>
            </w:pPr>
            <w:r>
              <w:t>432.00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229.83</w:t>
            </w:r>
          </w:p>
        </w:tc>
        <w:tc>
          <w:tcPr>
            <w:tcW w:w="2551" w:type="dxa"/>
            <w:vAlign w:val="center"/>
          </w:tcPr>
          <w:p>
            <w:pPr>
              <w:pStyle w:val="11"/>
            </w:pPr>
            <w:r>
              <w:t>175.83</w:t>
            </w:r>
          </w:p>
        </w:tc>
        <w:tc>
          <w:tcPr>
            <w:tcW w:w="2551" w:type="dxa"/>
            <w:vAlign w:val="center"/>
          </w:tcPr>
          <w:p>
            <w:pPr>
              <w:pStyle w:val="11"/>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175.83</w:t>
            </w:r>
          </w:p>
        </w:tc>
        <w:tc>
          <w:tcPr>
            <w:tcW w:w="2551" w:type="dxa"/>
            <w:vAlign w:val="center"/>
          </w:tcPr>
          <w:p>
            <w:pPr>
              <w:pStyle w:val="11"/>
            </w:pPr>
            <w:r>
              <w:t>175.83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2101506</w:t>
            </w:r>
          </w:p>
        </w:tc>
        <w:tc>
          <w:tcPr>
            <w:tcW w:w="4535" w:type="dxa"/>
            <w:vAlign w:val="center"/>
          </w:tcPr>
          <w:p>
            <w:pPr>
              <w:pStyle w:val="12"/>
            </w:pPr>
            <w:r>
              <w:t>医疗保障经办事务</w:t>
            </w:r>
          </w:p>
        </w:tc>
        <w:tc>
          <w:tcPr>
            <w:tcW w:w="2551" w:type="dxa"/>
            <w:vAlign w:val="center"/>
          </w:tcPr>
          <w:p>
            <w:pPr>
              <w:pStyle w:val="11"/>
            </w:pPr>
            <w:r>
              <w:t>54.00</w:t>
            </w:r>
          </w:p>
        </w:tc>
        <w:tc>
          <w:tcPr>
            <w:tcW w:w="2551" w:type="dxa"/>
            <w:vAlign w:val="center"/>
          </w:tcPr>
          <w:p>
            <w:pPr>
              <w:pStyle w:val="11"/>
            </w:pPr>
          </w:p>
        </w:tc>
        <w:tc>
          <w:tcPr>
            <w:tcW w:w="2551" w:type="dxa"/>
            <w:vAlign w:val="center"/>
          </w:tcPr>
          <w:p>
            <w:pPr>
              <w:pStyle w:val="11"/>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210.01</w:t>
            </w:r>
          </w:p>
        </w:tc>
        <w:tc>
          <w:tcPr>
            <w:tcW w:w="2551" w:type="dxa"/>
            <w:vAlign w:val="center"/>
          </w:tcPr>
          <w:p>
            <w:pPr>
              <w:pStyle w:val="15"/>
            </w:pPr>
            <w:r>
              <w:t>116.56</w:t>
            </w:r>
          </w:p>
        </w:tc>
        <w:tc>
          <w:tcPr>
            <w:tcW w:w="2551" w:type="dxa"/>
            <w:vAlign w:val="center"/>
          </w:tcPr>
          <w:p>
            <w:pPr>
              <w:pStyle w:val="15"/>
            </w:pPr>
            <w:r>
              <w:t>93.45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112.11</w:t>
            </w:r>
          </w:p>
        </w:tc>
        <w:tc>
          <w:tcPr>
            <w:tcW w:w="2551" w:type="dxa"/>
            <w:vAlign w:val="center"/>
          </w:tcPr>
          <w:p>
            <w:pPr>
              <w:pStyle w:val="11"/>
            </w:pPr>
            <w:r>
              <w:t>112.11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30.83</w:t>
            </w:r>
          </w:p>
        </w:tc>
        <w:tc>
          <w:tcPr>
            <w:tcW w:w="2551" w:type="dxa"/>
            <w:vAlign w:val="center"/>
          </w:tcPr>
          <w:p>
            <w:pPr>
              <w:pStyle w:val="11"/>
            </w:pPr>
            <w:r>
              <w:t>30.83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24.34</w:t>
            </w:r>
          </w:p>
        </w:tc>
        <w:tc>
          <w:tcPr>
            <w:tcW w:w="2551" w:type="dxa"/>
            <w:vAlign w:val="center"/>
          </w:tcPr>
          <w:p>
            <w:pPr>
              <w:pStyle w:val="11"/>
            </w:pPr>
            <w:r>
              <w:t>24.34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27.06</w:t>
            </w:r>
          </w:p>
        </w:tc>
        <w:tc>
          <w:tcPr>
            <w:tcW w:w="2551" w:type="dxa"/>
            <w:vAlign w:val="center"/>
          </w:tcPr>
          <w:p>
            <w:pPr>
              <w:pStyle w:val="11"/>
            </w:pPr>
            <w:r>
              <w:t>27.06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10.84</w:t>
            </w:r>
          </w:p>
        </w:tc>
        <w:tc>
          <w:tcPr>
            <w:tcW w:w="2551" w:type="dxa"/>
            <w:vAlign w:val="center"/>
          </w:tcPr>
          <w:p>
            <w:pPr>
              <w:pStyle w:val="11"/>
            </w:pPr>
            <w:r>
              <w:t>10.84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3.45</w:t>
            </w:r>
          </w:p>
        </w:tc>
        <w:tc>
          <w:tcPr>
            <w:tcW w:w="2551" w:type="dxa"/>
            <w:vAlign w:val="center"/>
          </w:tcPr>
          <w:p>
            <w:pPr>
              <w:pStyle w:val="11"/>
            </w:pPr>
            <w:r>
              <w:t>3.45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93.45</w:t>
            </w:r>
          </w:p>
        </w:tc>
        <w:tc>
          <w:tcPr>
            <w:tcW w:w="2551" w:type="dxa"/>
            <w:vAlign w:val="center"/>
          </w:tcPr>
          <w:p>
            <w:pPr>
              <w:pStyle w:val="11"/>
            </w:pPr>
          </w:p>
        </w:tc>
        <w:tc>
          <w:tcPr>
            <w:tcW w:w="2551" w:type="dxa"/>
            <w:vAlign w:val="center"/>
          </w:tcPr>
          <w:p>
            <w:pPr>
              <w:pStyle w:val="11"/>
            </w:pPr>
            <w:r>
              <w:t>93.45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3.62</w:t>
            </w:r>
          </w:p>
        </w:tc>
        <w:tc>
          <w:tcPr>
            <w:tcW w:w="2551" w:type="dxa"/>
            <w:vAlign w:val="center"/>
          </w:tcPr>
          <w:p>
            <w:pPr>
              <w:pStyle w:val="11"/>
            </w:pPr>
          </w:p>
        </w:tc>
        <w:tc>
          <w:tcPr>
            <w:tcW w:w="2551" w:type="dxa"/>
            <w:vAlign w:val="center"/>
          </w:tcPr>
          <w:p>
            <w:pPr>
              <w:pStyle w:val="11"/>
            </w:pPr>
            <w:r>
              <w:t>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2.79</w:t>
            </w:r>
          </w:p>
        </w:tc>
        <w:tc>
          <w:tcPr>
            <w:tcW w:w="2551" w:type="dxa"/>
            <w:vAlign w:val="center"/>
          </w:tcPr>
          <w:p>
            <w:pPr>
              <w:pStyle w:val="11"/>
            </w:pPr>
          </w:p>
        </w:tc>
        <w:tc>
          <w:tcPr>
            <w:tcW w:w="2551"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76.85</w:t>
            </w:r>
          </w:p>
        </w:tc>
        <w:tc>
          <w:tcPr>
            <w:tcW w:w="2551" w:type="dxa"/>
            <w:vAlign w:val="center"/>
          </w:tcPr>
          <w:p>
            <w:pPr>
              <w:pStyle w:val="11"/>
            </w:pPr>
          </w:p>
        </w:tc>
        <w:tc>
          <w:tcPr>
            <w:tcW w:w="2551" w:type="dxa"/>
            <w:vAlign w:val="center"/>
          </w:tcPr>
          <w:p>
            <w:pPr>
              <w:pStyle w:val="11"/>
            </w:pPr>
            <w:r>
              <w:t>76.85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4.98</w:t>
            </w:r>
          </w:p>
        </w:tc>
        <w:tc>
          <w:tcPr>
            <w:tcW w:w="2551" w:type="dxa"/>
            <w:vAlign w:val="center"/>
          </w:tcPr>
          <w:p>
            <w:pPr>
              <w:pStyle w:val="11"/>
            </w:pPr>
          </w:p>
        </w:tc>
        <w:tc>
          <w:tcPr>
            <w:tcW w:w="2551" w:type="dxa"/>
            <w:vAlign w:val="center"/>
          </w:tcPr>
          <w:p>
            <w:pPr>
              <w:pStyle w:val="11"/>
            </w:pPr>
            <w:r>
              <w:t>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4.46</w:t>
            </w:r>
          </w:p>
        </w:tc>
        <w:tc>
          <w:tcPr>
            <w:tcW w:w="2551" w:type="dxa"/>
            <w:vAlign w:val="center"/>
          </w:tcPr>
          <w:p>
            <w:pPr>
              <w:pStyle w:val="11"/>
            </w:pPr>
            <w:r>
              <w:t>4.46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4.46</w:t>
            </w:r>
          </w:p>
        </w:tc>
        <w:tc>
          <w:tcPr>
            <w:tcW w:w="2551" w:type="dxa"/>
            <w:vAlign w:val="center"/>
          </w:tcPr>
          <w:p>
            <w:pPr>
              <w:pStyle w:val="11"/>
            </w:pPr>
            <w:r>
              <w:t>4.46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石家庄市鹿泉区医疗保障局本级2025年单位预算信息公开情况说明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按照《中华人民共和国预算法》、《地方预决算公开操作规程》和《关于进一步推进预算公开工作的实施意见》规定，现将石家庄市鹿泉区医疗保障局本级2025年单位预算公开如下：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贯彻落实党中央和省、市、区委关于医疗保障工作的方针政策和决策部署，坚持和加强党对医疗保障工作的集中统一领导。</w:t>
      </w:r>
    </w:p>
    <w:p>
      <w:pPr>
        <w:pStyle w:val="17"/>
      </w:pPr>
      <w:r>
        <w:t>主要职责是：</w:t>
      </w:r>
    </w:p>
    <w:p>
      <w:pPr>
        <w:pStyle w:val="17"/>
      </w:pPr>
      <w:r>
        <w:t>（一）贯彻落实国家、省、市关于城镇职工和城乡居民医疗保险、生育保险、长期护理保险、医疗救助等医疗保障法规、规章以及政策、制度、规划和标准。按照政策规定拟订本辖区具体医疗保障政策，并组织实施。</w:t>
      </w:r>
    </w:p>
    <w:p>
      <w:pPr>
        <w:pStyle w:val="17"/>
      </w:pPr>
      <w:r>
        <w:t>（二）贯彻落实国家、省、市医疗保障基金监督管理规定，建立健全医疗保障基金安全防控机制，建设维护网络信息系统和智能监控平台，按上级部署推进医疗保障基金支付方式改革，并组织实施。</w:t>
      </w:r>
    </w:p>
    <w:p>
      <w:pPr>
        <w:pStyle w:val="17"/>
      </w:pPr>
      <w:r>
        <w:t>（三）贯彻落实石家庄市城镇职工、城乡居民参保筹资和保障相关待遇政策。贯彻落实长期护理保险制度及政策并组织实施。</w:t>
      </w:r>
    </w:p>
    <w:p>
      <w:pPr>
        <w:pStyle w:val="17"/>
      </w:pPr>
      <w:r>
        <w:t>（四）贯彻落实城乡统一的药品、医用耗材、医疗服务项目、医疗服务设施等医保支付标准。</w:t>
      </w:r>
    </w:p>
    <w:p>
      <w:pPr>
        <w:pStyle w:val="17"/>
      </w:pPr>
      <w:r>
        <w:t>（五）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pPr>
        <w:pStyle w:val="17"/>
      </w:pPr>
      <w:r>
        <w:t>（六）贯彻落实石家庄市定点医疗机构协议和支付管理办法。建立健全医疗保障信用评价体系和信息披露制度，监督管理定点医药机构的医疗服务行为、医疗费用和医药价格，依法查处医疗保障领域违法违规行为。</w:t>
      </w:r>
    </w:p>
    <w:p>
      <w:pPr>
        <w:pStyle w:val="17"/>
      </w:pPr>
      <w:r>
        <w:t>（七）负责医疗保障经办管理、公共服务体系和信息化建设。贯彻落实异地就医管理和费用结算政策、医疗保障关系转移接续制度。</w:t>
      </w:r>
    </w:p>
    <w:p>
      <w:pPr>
        <w:pStyle w:val="17"/>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736.01万元，其中：一般公共预算收入736.01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医疗保障局本级年度单位预算中支出预算的总体情况。2025年支出预算736.01万元，其中基本支出210.01万元，包括人员经费116.56万元和日常公用经费93.45万元；项目支出526.00万元，主要为城乡医疗救助支出等。</w:t>
      </w:r>
    </w:p>
    <w:p>
      <w:pPr>
        <w:pStyle w:val="18"/>
      </w:pPr>
      <w:r>
        <w:t>3、比上年增减情况</w:t>
      </w:r>
    </w:p>
    <w:p>
      <w:pPr>
        <w:pStyle w:val="18"/>
      </w:pPr>
      <w:r>
        <w:t>2025年预算收支安排736.01万元，较2024年预算减少63.35万元，其中：基本支出减少51.63万元，主要为主要为人员经费支出减少。项目支出减少11.72万元，主要为上解新冠疫苗及接种费用的补助资金支出、城乡医疗救助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ascii="Times New Roman" w:hAnsi="Times New Roman" w:eastAsia="方正仿宋_GBK" w:cs="Times New Roman"/>
          <w:sz w:val="28"/>
          <w:lang w:eastAsia="zh-CN"/>
        </w:rPr>
      </w:pPr>
      <w:r>
        <w:rPr>
          <w:rFonts w:ascii="Times New Roman" w:hAnsi="Times New Roman" w:eastAsia="方正仿宋_GBK" w:cs="Times New Roman"/>
          <w:sz w:val="28"/>
        </w:rPr>
        <w:t>2025年，我单位机关运行经费共计安排</w:t>
      </w:r>
      <w:r>
        <w:rPr>
          <w:rFonts w:hint="eastAsia" w:ascii="Times New Roman" w:hAnsi="Times New Roman" w:eastAsia="方正仿宋_GBK" w:cs="Times New Roman"/>
          <w:sz w:val="28"/>
        </w:rPr>
        <w:t>93.45万元，主要用于日常维修、办公用房水电费、办公用房取暖费、</w:t>
      </w:r>
      <w:r>
        <w:rPr>
          <w:rFonts w:hint="eastAsia" w:cs="Times New Roman"/>
          <w:sz w:val="28"/>
          <w:lang w:eastAsia="zh-CN"/>
        </w:rPr>
        <w:t>劳务费</w:t>
      </w:r>
      <w:r>
        <w:rPr>
          <w:rFonts w:hint="eastAsia" w:ascii="Times New Roman" w:hAnsi="Times New Roman" w:eastAsia="方正仿宋_GBK" w:cs="Times New Roman"/>
          <w:sz w:val="28"/>
        </w:rPr>
        <w:t>等日常运行支出</w:t>
      </w:r>
      <w:r>
        <w:rPr>
          <w:rFonts w:hint="eastAsia" w:cs="Times New Roman"/>
          <w:sz w:val="28"/>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w:t>
      </w:r>
      <w:r>
        <w:rPr>
          <w:rFonts w:hint="eastAsia"/>
          <w:lang w:val="en-US" w:eastAsia="zh-CN"/>
        </w:rPr>
        <w:t>"三公"经费与上年持平，无增减变化。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1、提前下达2025年中央财政医疗服务与保障能力提升补助资金绩效目标表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13011025P00326010030Q</w:t>
            </w:r>
          </w:p>
        </w:tc>
        <w:tc>
          <w:tcPr>
            <w:tcW w:w="2835" w:type="dxa"/>
            <w:vAlign w:val="center"/>
          </w:tcPr>
          <w:p>
            <w:pPr>
              <w:pStyle w:val="10"/>
            </w:pPr>
            <w:r>
              <w:t>项目名称</w:t>
            </w:r>
          </w:p>
        </w:tc>
        <w:tc>
          <w:tcPr>
            <w:tcW w:w="6095" w:type="dxa"/>
            <w:gridSpan w:val="3"/>
            <w:vAlign w:val="center"/>
          </w:tcPr>
          <w:p>
            <w:pPr>
              <w:pStyle w:val="12"/>
            </w:pPr>
            <w:r>
              <w:t>提前下达2025年中央财政医疗服务与保障能力提升补助资金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按照石财社【2024】117号文件规定，国家医保局下达医保能力提升资金，我部门用于印刷400000余册宣传材料，以及督导检查200家医疗机构等提升经办管理服务体系资金共计27万元.</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1.按照石财社【2024】117号文件规定，国家医保局下达医保能力提升资金，我部门用于印刷400000余册宣传材料，以及督导检查200家医疗机构等提升经办管理服务体系资金共计27万元.</w:t>
            </w:r>
            <w:r>
              <w:tab/>
            </w:r>
            <w:r>
              <w:tab/>
            </w:r>
            <w:r>
              <w:tab/>
            </w:r>
            <w:r>
              <w:tab/>
            </w:r>
            <w:r>
              <w:tab/>
            </w:r>
            <w:r>
              <w:tab/>
            </w:r>
          </w:p>
          <w:p>
            <w:pPr>
              <w:pStyle w:val="12"/>
            </w:pPr>
            <w:r>
              <w:t>"</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监督检查医疗机构数量</w:t>
            </w:r>
          </w:p>
        </w:tc>
        <w:tc>
          <w:tcPr>
            <w:tcW w:w="5386" w:type="dxa"/>
            <w:vAlign w:val="center"/>
          </w:tcPr>
          <w:p>
            <w:pPr>
              <w:pStyle w:val="12"/>
            </w:pPr>
            <w:r>
              <w:t>监督检查医疗机构数量</w:t>
            </w:r>
          </w:p>
        </w:tc>
        <w:tc>
          <w:tcPr>
            <w:tcW w:w="2268" w:type="dxa"/>
            <w:vAlign w:val="center"/>
          </w:tcPr>
          <w:p>
            <w:pPr>
              <w:pStyle w:val="12"/>
            </w:pPr>
            <w:r>
              <w:t>≤200家</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印制宣传材料数量</w:t>
            </w:r>
          </w:p>
        </w:tc>
        <w:tc>
          <w:tcPr>
            <w:tcW w:w="5386" w:type="dxa"/>
            <w:vAlign w:val="center"/>
          </w:tcPr>
          <w:p>
            <w:pPr>
              <w:pStyle w:val="12"/>
            </w:pPr>
            <w:r>
              <w:t>印制宣传材料数量</w:t>
            </w:r>
          </w:p>
        </w:tc>
        <w:tc>
          <w:tcPr>
            <w:tcW w:w="2268" w:type="dxa"/>
            <w:vAlign w:val="center"/>
          </w:tcPr>
          <w:p>
            <w:pPr>
              <w:pStyle w:val="12"/>
            </w:pPr>
            <w:r>
              <w:t>≥400000册</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宣传情况完成率</w:t>
            </w:r>
          </w:p>
        </w:tc>
        <w:tc>
          <w:tcPr>
            <w:tcW w:w="5386" w:type="dxa"/>
            <w:vAlign w:val="center"/>
          </w:tcPr>
          <w:p>
            <w:pPr>
              <w:pStyle w:val="12"/>
            </w:pPr>
            <w:r>
              <w:t>宣传情况完成率</w:t>
            </w:r>
          </w:p>
        </w:tc>
        <w:tc>
          <w:tcPr>
            <w:tcW w:w="2268" w:type="dxa"/>
            <w:vAlign w:val="center"/>
          </w:tcPr>
          <w:p>
            <w:pPr>
              <w:pStyle w:val="12"/>
            </w:pPr>
            <w:r>
              <w:t>≥95%</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监督检查项目的质量合格率</w:t>
            </w:r>
          </w:p>
        </w:tc>
        <w:tc>
          <w:tcPr>
            <w:tcW w:w="5386" w:type="dxa"/>
            <w:vAlign w:val="center"/>
          </w:tcPr>
          <w:p>
            <w:pPr>
              <w:pStyle w:val="12"/>
            </w:pPr>
            <w:r>
              <w:t>监督检查项目的质量合格率</w:t>
            </w:r>
          </w:p>
        </w:tc>
        <w:tc>
          <w:tcPr>
            <w:tcW w:w="2268" w:type="dxa"/>
            <w:vAlign w:val="center"/>
          </w:tcPr>
          <w:p>
            <w:pPr>
              <w:pStyle w:val="12"/>
            </w:pPr>
            <w:r>
              <w:t>≥95%</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印刷成本</w:t>
            </w:r>
          </w:p>
        </w:tc>
        <w:tc>
          <w:tcPr>
            <w:tcW w:w="5386" w:type="dxa"/>
            <w:vAlign w:val="center"/>
          </w:tcPr>
          <w:p>
            <w:pPr>
              <w:pStyle w:val="12"/>
            </w:pPr>
            <w:r>
              <w:t>编印画册的总成本</w:t>
            </w:r>
          </w:p>
        </w:tc>
        <w:tc>
          <w:tcPr>
            <w:tcW w:w="2268" w:type="dxa"/>
            <w:vAlign w:val="center"/>
          </w:tcPr>
          <w:p>
            <w:pPr>
              <w:pStyle w:val="12"/>
            </w:pPr>
            <w:r>
              <w:t>≤200000元</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监督监管费</w:t>
            </w:r>
          </w:p>
        </w:tc>
        <w:tc>
          <w:tcPr>
            <w:tcW w:w="5386" w:type="dxa"/>
            <w:vAlign w:val="center"/>
          </w:tcPr>
          <w:p>
            <w:pPr>
              <w:pStyle w:val="12"/>
            </w:pPr>
            <w:r>
              <w:t>监督监管费</w:t>
            </w:r>
          </w:p>
        </w:tc>
        <w:tc>
          <w:tcPr>
            <w:tcW w:w="2268" w:type="dxa"/>
            <w:vAlign w:val="center"/>
          </w:tcPr>
          <w:p>
            <w:pPr>
              <w:pStyle w:val="12"/>
            </w:pPr>
            <w:r>
              <w:t>≤70000元</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提供服务次数</w:t>
            </w:r>
          </w:p>
        </w:tc>
        <w:tc>
          <w:tcPr>
            <w:tcW w:w="5386" w:type="dxa"/>
            <w:vAlign w:val="center"/>
          </w:tcPr>
          <w:p>
            <w:pPr>
              <w:pStyle w:val="12"/>
            </w:pPr>
            <w:r>
              <w:t>开展宣传活动发放宣传册次数</w:t>
            </w:r>
          </w:p>
        </w:tc>
        <w:tc>
          <w:tcPr>
            <w:tcW w:w="2268" w:type="dxa"/>
            <w:vAlign w:val="center"/>
          </w:tcPr>
          <w:p>
            <w:pPr>
              <w:pStyle w:val="12"/>
            </w:pPr>
            <w:r>
              <w:t>≥5次</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w:t>
            </w:r>
          </w:p>
        </w:tc>
        <w:tc>
          <w:tcPr>
            <w:tcW w:w="1276" w:type="dxa"/>
            <w:vAlign w:val="center"/>
          </w:tcPr>
          <w:p>
            <w:pPr>
              <w:pStyle w:val="12"/>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办事群众满意度</w:t>
            </w:r>
          </w:p>
        </w:tc>
        <w:tc>
          <w:tcPr>
            <w:tcW w:w="5386" w:type="dxa"/>
            <w:vAlign w:val="center"/>
          </w:tcPr>
          <w:p>
            <w:pPr>
              <w:pStyle w:val="12"/>
            </w:pPr>
            <w:r>
              <w:t>办事群众满意度</w:t>
            </w:r>
          </w:p>
        </w:tc>
        <w:tc>
          <w:tcPr>
            <w:tcW w:w="2268" w:type="dxa"/>
            <w:vAlign w:val="center"/>
          </w:tcPr>
          <w:p>
            <w:pPr>
              <w:pStyle w:val="12"/>
            </w:pPr>
            <w:r>
              <w:t>≥95%</w:t>
            </w:r>
          </w:p>
        </w:tc>
        <w:tc>
          <w:tcPr>
            <w:tcW w:w="1276" w:type="dxa"/>
            <w:vAlign w:val="center"/>
          </w:tcPr>
          <w:p>
            <w:pPr>
              <w:pStyle w:val="12"/>
            </w:pPr>
            <w:r>
              <w:t>石财社【2024】117号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2、新冠疫苗及接种费用2025绩效目标表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13011025P00326010028R</w:t>
            </w:r>
          </w:p>
        </w:tc>
        <w:tc>
          <w:tcPr>
            <w:tcW w:w="2835" w:type="dxa"/>
            <w:vAlign w:val="center"/>
          </w:tcPr>
          <w:p>
            <w:pPr>
              <w:pStyle w:val="10"/>
            </w:pPr>
            <w:r>
              <w:t>项目名称</w:t>
            </w:r>
          </w:p>
        </w:tc>
        <w:tc>
          <w:tcPr>
            <w:tcW w:w="6095" w:type="dxa"/>
            <w:gridSpan w:val="3"/>
            <w:vAlign w:val="center"/>
          </w:tcPr>
          <w:p>
            <w:pPr>
              <w:pStyle w:val="12"/>
            </w:pPr>
            <w:r>
              <w:t>新冠疫苗及接种费用2025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根据石财社[2023]12号文件要求，新冠病毒疫苗及接种费用由医保基金负担，需县级财政补助资金上解至石家庄市医保基金财政专户，用于新冠病毒疫苗及接种费用拨付。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1.根据石财社[2023]12号文件要求，新冠病毒疫苗及接种费用由医保基金负担，需将县级财政补助资金上解至石家庄市医保基金财政专户，用于新冠病毒疫苗及接种费用拨付，共需28万元。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完成疫苗接种人数</w:t>
            </w:r>
          </w:p>
        </w:tc>
        <w:tc>
          <w:tcPr>
            <w:tcW w:w="5386" w:type="dxa"/>
            <w:vAlign w:val="center"/>
          </w:tcPr>
          <w:p>
            <w:pPr>
              <w:pStyle w:val="12"/>
            </w:pPr>
            <w:r>
              <w:t>完成新冠病毒疫苗接种人数</w:t>
            </w:r>
          </w:p>
        </w:tc>
        <w:tc>
          <w:tcPr>
            <w:tcW w:w="2268" w:type="dxa"/>
            <w:vAlign w:val="center"/>
          </w:tcPr>
          <w:p>
            <w:pPr>
              <w:pStyle w:val="12"/>
            </w:pPr>
            <w:r>
              <w:t>≥358425人</w:t>
            </w:r>
          </w:p>
        </w:tc>
        <w:tc>
          <w:tcPr>
            <w:tcW w:w="1276" w:type="dxa"/>
            <w:vAlign w:val="center"/>
          </w:tcPr>
          <w:p>
            <w:pPr>
              <w:pStyle w:val="12"/>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疫苗接种完成全程率</w:t>
            </w:r>
          </w:p>
        </w:tc>
        <w:tc>
          <w:tcPr>
            <w:tcW w:w="5386" w:type="dxa"/>
            <w:vAlign w:val="center"/>
          </w:tcPr>
          <w:p>
            <w:pPr>
              <w:pStyle w:val="12"/>
            </w:pPr>
            <w:r>
              <w:t>疫苗接种完成全程率</w:t>
            </w:r>
          </w:p>
        </w:tc>
        <w:tc>
          <w:tcPr>
            <w:tcW w:w="2268" w:type="dxa"/>
            <w:vAlign w:val="center"/>
          </w:tcPr>
          <w:p>
            <w:pPr>
              <w:pStyle w:val="12"/>
            </w:pPr>
            <w:r>
              <w:t>≥85%</w:t>
            </w:r>
          </w:p>
        </w:tc>
        <w:tc>
          <w:tcPr>
            <w:tcW w:w="1276" w:type="dxa"/>
            <w:vAlign w:val="center"/>
          </w:tcPr>
          <w:p>
            <w:pPr>
              <w:pStyle w:val="12"/>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资金上解及时性</w:t>
            </w:r>
          </w:p>
        </w:tc>
        <w:tc>
          <w:tcPr>
            <w:tcW w:w="5386" w:type="dxa"/>
            <w:vAlign w:val="center"/>
          </w:tcPr>
          <w:p>
            <w:pPr>
              <w:pStyle w:val="12"/>
            </w:pPr>
            <w:r>
              <w:t>新冠病毒疫苗及接种费用区级财政补助资金按规定及时上解</w:t>
            </w:r>
          </w:p>
        </w:tc>
        <w:tc>
          <w:tcPr>
            <w:tcW w:w="2268" w:type="dxa"/>
            <w:vAlign w:val="center"/>
          </w:tcPr>
          <w:p>
            <w:pPr>
              <w:pStyle w:val="12"/>
            </w:pPr>
            <w:r>
              <w:t>及时上解</w:t>
            </w:r>
          </w:p>
        </w:tc>
        <w:tc>
          <w:tcPr>
            <w:tcW w:w="1276" w:type="dxa"/>
            <w:vAlign w:val="center"/>
          </w:tcPr>
          <w:p>
            <w:pPr>
              <w:pStyle w:val="12"/>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资金上解值</w:t>
            </w:r>
          </w:p>
        </w:tc>
        <w:tc>
          <w:tcPr>
            <w:tcW w:w="5386" w:type="dxa"/>
            <w:vAlign w:val="center"/>
          </w:tcPr>
          <w:p>
            <w:pPr>
              <w:pStyle w:val="12"/>
            </w:pPr>
            <w:r>
              <w:t>新冠病毒疫苗及接种费用区级财政补助资金上解市财政数值</w:t>
            </w:r>
          </w:p>
        </w:tc>
        <w:tc>
          <w:tcPr>
            <w:tcW w:w="2268" w:type="dxa"/>
            <w:vAlign w:val="center"/>
          </w:tcPr>
          <w:p>
            <w:pPr>
              <w:pStyle w:val="12"/>
            </w:pPr>
            <w:r>
              <w:t>28万元</w:t>
            </w:r>
          </w:p>
        </w:tc>
        <w:tc>
          <w:tcPr>
            <w:tcW w:w="1276" w:type="dxa"/>
            <w:vAlign w:val="center"/>
          </w:tcPr>
          <w:p>
            <w:pPr>
              <w:pStyle w:val="12"/>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目标人群疫苗接种覆盖率</w:t>
            </w:r>
          </w:p>
        </w:tc>
        <w:tc>
          <w:tcPr>
            <w:tcW w:w="5386" w:type="dxa"/>
            <w:vAlign w:val="center"/>
          </w:tcPr>
          <w:p>
            <w:pPr>
              <w:pStyle w:val="12"/>
            </w:pPr>
            <w:r>
              <w:t>目标人群疫苗接种覆盖率</w:t>
            </w:r>
          </w:p>
        </w:tc>
        <w:tc>
          <w:tcPr>
            <w:tcW w:w="2268" w:type="dxa"/>
            <w:vAlign w:val="center"/>
          </w:tcPr>
          <w:p>
            <w:pPr>
              <w:pStyle w:val="12"/>
            </w:pPr>
            <w:r>
              <w:t>按国家下达任务完成接种覆盖率</w:t>
            </w:r>
          </w:p>
        </w:tc>
        <w:tc>
          <w:tcPr>
            <w:tcW w:w="1276" w:type="dxa"/>
            <w:vAlign w:val="center"/>
          </w:tcPr>
          <w:p>
            <w:pPr>
              <w:pStyle w:val="12"/>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政策知晓率</w:t>
            </w:r>
          </w:p>
        </w:tc>
        <w:tc>
          <w:tcPr>
            <w:tcW w:w="5386" w:type="dxa"/>
            <w:vAlign w:val="center"/>
          </w:tcPr>
          <w:p>
            <w:pPr>
              <w:pStyle w:val="12"/>
            </w:pPr>
            <w:r>
              <w:t>新冠疫苗接种政策知晓率</w:t>
            </w:r>
          </w:p>
        </w:tc>
        <w:tc>
          <w:tcPr>
            <w:tcW w:w="2268" w:type="dxa"/>
            <w:vAlign w:val="center"/>
          </w:tcPr>
          <w:p>
            <w:pPr>
              <w:pStyle w:val="12"/>
            </w:pPr>
            <w:r>
              <w:t>≥95%</w:t>
            </w:r>
          </w:p>
        </w:tc>
        <w:tc>
          <w:tcPr>
            <w:tcW w:w="1276" w:type="dxa"/>
            <w:vAlign w:val="center"/>
          </w:tcPr>
          <w:p>
            <w:pPr>
              <w:pStyle w:val="12"/>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石财社【2023】12号文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3、医保局城乡医疗救助2025绩效目标表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13011025P001597100018</w:t>
            </w:r>
          </w:p>
        </w:tc>
        <w:tc>
          <w:tcPr>
            <w:tcW w:w="2835" w:type="dxa"/>
            <w:vAlign w:val="center"/>
          </w:tcPr>
          <w:p>
            <w:pPr>
              <w:pStyle w:val="10"/>
            </w:pPr>
            <w:r>
              <w:t>项目名称</w:t>
            </w:r>
          </w:p>
        </w:tc>
        <w:tc>
          <w:tcPr>
            <w:tcW w:w="6095" w:type="dxa"/>
            <w:gridSpan w:val="3"/>
            <w:vAlign w:val="center"/>
          </w:tcPr>
          <w:p>
            <w:pPr>
              <w:pStyle w:val="12"/>
            </w:pPr>
            <w:r>
              <w:t>医保局城乡医疗救助2025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432.00</w:t>
            </w:r>
          </w:p>
        </w:tc>
        <w:tc>
          <w:tcPr>
            <w:tcW w:w="2835" w:type="dxa"/>
            <w:vAlign w:val="center"/>
          </w:tcPr>
          <w:p>
            <w:pPr>
              <w:pStyle w:val="10"/>
            </w:pPr>
            <w:r>
              <w:t>其中：财政    资金</w:t>
            </w:r>
          </w:p>
        </w:tc>
        <w:tc>
          <w:tcPr>
            <w:tcW w:w="2551" w:type="dxa"/>
            <w:vAlign w:val="center"/>
          </w:tcPr>
          <w:p>
            <w:pPr>
              <w:pStyle w:val="12"/>
            </w:pPr>
            <w:r>
              <w:t>432.00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用于我区3600余名特困供养人员、五保低保重残等人员的医药费补助费用发放，共计432万元。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1.用于我区3600余名特困供养人员、五保低保重残等人员的医药费补助费用发放，共计432万元，从而降低救助对象因病致贫、因病返贫机率。</w:t>
            </w:r>
            <w:r>
              <w:tab/>
            </w:r>
            <w:r>
              <w:tab/>
            </w:r>
            <w:r>
              <w:tab/>
            </w: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医疗救助待遇发放人数</w:t>
            </w:r>
          </w:p>
        </w:tc>
        <w:tc>
          <w:tcPr>
            <w:tcW w:w="5386" w:type="dxa"/>
            <w:vAlign w:val="center"/>
          </w:tcPr>
          <w:p>
            <w:pPr>
              <w:pStyle w:val="12"/>
            </w:pPr>
            <w:r>
              <w:t>医疗救助待遇发放人数</w:t>
            </w:r>
          </w:p>
        </w:tc>
        <w:tc>
          <w:tcPr>
            <w:tcW w:w="2268" w:type="dxa"/>
            <w:vAlign w:val="center"/>
          </w:tcPr>
          <w:p>
            <w:pPr>
              <w:pStyle w:val="12"/>
            </w:pPr>
            <w:r>
              <w:t>≥3600人</w:t>
            </w:r>
          </w:p>
        </w:tc>
        <w:tc>
          <w:tcPr>
            <w:tcW w:w="1276" w:type="dxa"/>
            <w:vAlign w:val="center"/>
          </w:tcPr>
          <w:p>
            <w:pPr>
              <w:pStyle w:val="12"/>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本年度医疗救助完成率</w:t>
            </w:r>
          </w:p>
        </w:tc>
        <w:tc>
          <w:tcPr>
            <w:tcW w:w="5386" w:type="dxa"/>
            <w:vAlign w:val="center"/>
          </w:tcPr>
          <w:p>
            <w:pPr>
              <w:pStyle w:val="12"/>
            </w:pPr>
            <w:r>
              <w:t>本年度医疗救助完成率</w:t>
            </w:r>
          </w:p>
        </w:tc>
        <w:tc>
          <w:tcPr>
            <w:tcW w:w="2268" w:type="dxa"/>
            <w:vAlign w:val="center"/>
          </w:tcPr>
          <w:p>
            <w:pPr>
              <w:pStyle w:val="12"/>
            </w:pPr>
            <w:r>
              <w:t>≥98%</w:t>
            </w:r>
          </w:p>
        </w:tc>
        <w:tc>
          <w:tcPr>
            <w:tcW w:w="1276" w:type="dxa"/>
            <w:vAlign w:val="center"/>
          </w:tcPr>
          <w:p>
            <w:pPr>
              <w:pStyle w:val="12"/>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资金发放按时完成率</w:t>
            </w:r>
          </w:p>
        </w:tc>
        <w:tc>
          <w:tcPr>
            <w:tcW w:w="5386" w:type="dxa"/>
            <w:vAlign w:val="center"/>
          </w:tcPr>
          <w:p>
            <w:pPr>
              <w:pStyle w:val="12"/>
            </w:pPr>
            <w:r>
              <w:t>资金发放按时完成率</w:t>
            </w:r>
          </w:p>
        </w:tc>
        <w:tc>
          <w:tcPr>
            <w:tcW w:w="2268" w:type="dxa"/>
            <w:vAlign w:val="center"/>
          </w:tcPr>
          <w:p>
            <w:pPr>
              <w:pStyle w:val="12"/>
            </w:pPr>
            <w:r>
              <w:t>≥98%</w:t>
            </w:r>
          </w:p>
        </w:tc>
        <w:tc>
          <w:tcPr>
            <w:tcW w:w="1276" w:type="dxa"/>
            <w:vAlign w:val="center"/>
          </w:tcPr>
          <w:p>
            <w:pPr>
              <w:pStyle w:val="12"/>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因病致贫医疗救助标准</w:t>
            </w:r>
          </w:p>
        </w:tc>
        <w:tc>
          <w:tcPr>
            <w:tcW w:w="5386" w:type="dxa"/>
            <w:vAlign w:val="center"/>
          </w:tcPr>
          <w:p>
            <w:pPr>
              <w:pStyle w:val="12"/>
            </w:pPr>
            <w:r>
              <w:t>因病致贫医疗救助起付标准</w:t>
            </w:r>
          </w:p>
        </w:tc>
        <w:tc>
          <w:tcPr>
            <w:tcW w:w="2268" w:type="dxa"/>
            <w:vAlign w:val="center"/>
          </w:tcPr>
          <w:p>
            <w:pPr>
              <w:pStyle w:val="12"/>
            </w:pPr>
            <w:r>
              <w:t>≥8500元</w:t>
            </w:r>
          </w:p>
        </w:tc>
        <w:tc>
          <w:tcPr>
            <w:tcW w:w="1276" w:type="dxa"/>
            <w:vAlign w:val="center"/>
          </w:tcPr>
          <w:p>
            <w:pPr>
              <w:pStyle w:val="12"/>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被救助对象人数</w:t>
            </w:r>
          </w:p>
        </w:tc>
        <w:tc>
          <w:tcPr>
            <w:tcW w:w="5386" w:type="dxa"/>
            <w:vAlign w:val="center"/>
          </w:tcPr>
          <w:p>
            <w:pPr>
              <w:pStyle w:val="12"/>
            </w:pPr>
            <w:r>
              <w:t>被救助对象人数</w:t>
            </w:r>
          </w:p>
        </w:tc>
        <w:tc>
          <w:tcPr>
            <w:tcW w:w="2268" w:type="dxa"/>
            <w:vAlign w:val="center"/>
          </w:tcPr>
          <w:p>
            <w:pPr>
              <w:pStyle w:val="12"/>
            </w:pPr>
            <w:r>
              <w:t>≥3600人</w:t>
            </w:r>
          </w:p>
        </w:tc>
        <w:tc>
          <w:tcPr>
            <w:tcW w:w="1276" w:type="dxa"/>
            <w:vAlign w:val="center"/>
          </w:tcPr>
          <w:p>
            <w:pPr>
              <w:pStyle w:val="12"/>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≥90%</w:t>
            </w:r>
          </w:p>
        </w:tc>
        <w:tc>
          <w:tcPr>
            <w:tcW w:w="1276" w:type="dxa"/>
            <w:vAlign w:val="center"/>
          </w:tcPr>
          <w:p>
            <w:pPr>
              <w:pStyle w:val="12"/>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4、医保局监督检查专项经费2025绩效目标表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13011025P00326010026J</w:t>
            </w:r>
          </w:p>
        </w:tc>
        <w:tc>
          <w:tcPr>
            <w:tcW w:w="2835" w:type="dxa"/>
            <w:vAlign w:val="center"/>
          </w:tcPr>
          <w:p>
            <w:pPr>
              <w:pStyle w:val="10"/>
            </w:pPr>
            <w:r>
              <w:t>项目名称</w:t>
            </w:r>
          </w:p>
        </w:tc>
        <w:tc>
          <w:tcPr>
            <w:tcW w:w="6095" w:type="dxa"/>
            <w:gridSpan w:val="3"/>
            <w:vAlign w:val="center"/>
          </w:tcPr>
          <w:p>
            <w:pPr>
              <w:pStyle w:val="12"/>
            </w:pPr>
            <w:r>
              <w:t>医保局监督检查专项经费2025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用于聘请第三方对全区200家定点医药机构展开飞行检查，打击欺诈骗保行为，预计共需检查费用7万元。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1.根据石医保字【2023】2号、鹿医保字【2022】6号文件及区领导批示精神，为更好贯彻落实打击欺诈骗保行为，需聘请第三方对全区200家定点医药机构展开飞行检查，预计共需检查费用7万元。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检查医疗机构数量</w:t>
            </w:r>
          </w:p>
        </w:tc>
        <w:tc>
          <w:tcPr>
            <w:tcW w:w="5386" w:type="dxa"/>
            <w:vAlign w:val="center"/>
          </w:tcPr>
          <w:p>
            <w:pPr>
              <w:pStyle w:val="12"/>
            </w:pPr>
            <w:r>
              <w:t>检查我区医疗机构数量</w:t>
            </w:r>
          </w:p>
        </w:tc>
        <w:tc>
          <w:tcPr>
            <w:tcW w:w="2268" w:type="dxa"/>
            <w:vAlign w:val="center"/>
          </w:tcPr>
          <w:p>
            <w:pPr>
              <w:pStyle w:val="12"/>
            </w:pPr>
            <w:r>
              <w:t>≥200家</w:t>
            </w:r>
          </w:p>
        </w:tc>
        <w:tc>
          <w:tcPr>
            <w:tcW w:w="1276" w:type="dxa"/>
            <w:vAlign w:val="center"/>
          </w:tcPr>
          <w:p>
            <w:pPr>
              <w:pStyle w:val="12"/>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监督检查项目的质量合格率</w:t>
            </w:r>
          </w:p>
        </w:tc>
        <w:tc>
          <w:tcPr>
            <w:tcW w:w="5386" w:type="dxa"/>
            <w:vAlign w:val="center"/>
          </w:tcPr>
          <w:p>
            <w:pPr>
              <w:pStyle w:val="12"/>
            </w:pPr>
            <w:r>
              <w:t>监督检查我区重点医疗机构诊疗行为的质量合格率</w:t>
            </w:r>
          </w:p>
        </w:tc>
        <w:tc>
          <w:tcPr>
            <w:tcW w:w="2268" w:type="dxa"/>
            <w:vAlign w:val="center"/>
          </w:tcPr>
          <w:p>
            <w:pPr>
              <w:pStyle w:val="12"/>
            </w:pPr>
            <w:r>
              <w:t>≥80%</w:t>
            </w:r>
          </w:p>
        </w:tc>
        <w:tc>
          <w:tcPr>
            <w:tcW w:w="1276" w:type="dxa"/>
            <w:vAlign w:val="center"/>
          </w:tcPr>
          <w:p>
            <w:pPr>
              <w:pStyle w:val="12"/>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5386" w:type="dxa"/>
            <w:vAlign w:val="center"/>
          </w:tcPr>
          <w:p>
            <w:pPr>
              <w:pStyle w:val="12"/>
            </w:pPr>
            <w:r>
              <w:t>监督检查我区重点监察机构完成及时率</w:t>
            </w:r>
          </w:p>
        </w:tc>
        <w:tc>
          <w:tcPr>
            <w:tcW w:w="2268" w:type="dxa"/>
            <w:vAlign w:val="center"/>
          </w:tcPr>
          <w:p>
            <w:pPr>
              <w:pStyle w:val="12"/>
            </w:pPr>
            <w:r>
              <w:t>≥90%</w:t>
            </w:r>
          </w:p>
        </w:tc>
        <w:tc>
          <w:tcPr>
            <w:tcW w:w="1276" w:type="dxa"/>
            <w:vAlign w:val="center"/>
          </w:tcPr>
          <w:p>
            <w:pPr>
              <w:pStyle w:val="12"/>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检查我区重点医疗机构的人员及专家差旅、劳务费人均</w:t>
            </w:r>
          </w:p>
        </w:tc>
        <w:tc>
          <w:tcPr>
            <w:tcW w:w="5386" w:type="dxa"/>
            <w:vAlign w:val="center"/>
          </w:tcPr>
          <w:p>
            <w:pPr>
              <w:pStyle w:val="12"/>
            </w:pPr>
            <w:r>
              <w:t>检查我区重点医疗机构的人员及专家差旅、劳务费人均费用/每天</w:t>
            </w:r>
          </w:p>
        </w:tc>
        <w:tc>
          <w:tcPr>
            <w:tcW w:w="2268" w:type="dxa"/>
            <w:vAlign w:val="center"/>
          </w:tcPr>
          <w:p>
            <w:pPr>
              <w:pStyle w:val="12"/>
            </w:pPr>
            <w:r>
              <w:t>≥650元</w:t>
            </w:r>
          </w:p>
        </w:tc>
        <w:tc>
          <w:tcPr>
            <w:tcW w:w="1276" w:type="dxa"/>
            <w:vAlign w:val="center"/>
          </w:tcPr>
          <w:p>
            <w:pPr>
              <w:pStyle w:val="12"/>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检查发现问题整改率（%）</w:t>
            </w:r>
          </w:p>
        </w:tc>
        <w:tc>
          <w:tcPr>
            <w:tcW w:w="5386" w:type="dxa"/>
            <w:vAlign w:val="center"/>
          </w:tcPr>
          <w:p>
            <w:pPr>
              <w:pStyle w:val="12"/>
            </w:pPr>
            <w:r>
              <w:t>检查发现问题医疗机构整改率（%）</w:t>
            </w:r>
          </w:p>
        </w:tc>
        <w:tc>
          <w:tcPr>
            <w:tcW w:w="2268" w:type="dxa"/>
            <w:vAlign w:val="center"/>
          </w:tcPr>
          <w:p>
            <w:pPr>
              <w:pStyle w:val="12"/>
            </w:pPr>
            <w:r>
              <w:t>≥90%</w:t>
            </w:r>
          </w:p>
        </w:tc>
        <w:tc>
          <w:tcPr>
            <w:tcW w:w="1276" w:type="dxa"/>
            <w:vAlign w:val="center"/>
          </w:tcPr>
          <w:p>
            <w:pPr>
              <w:pStyle w:val="12"/>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我区重点医疗机构诊疗行为规范度</w:t>
            </w:r>
          </w:p>
        </w:tc>
        <w:tc>
          <w:tcPr>
            <w:tcW w:w="5386" w:type="dxa"/>
            <w:vAlign w:val="center"/>
          </w:tcPr>
          <w:p>
            <w:pPr>
              <w:pStyle w:val="12"/>
            </w:pPr>
            <w:r>
              <w:t>我区重点医疗机构诊疗行为规范度</w:t>
            </w:r>
          </w:p>
        </w:tc>
        <w:tc>
          <w:tcPr>
            <w:tcW w:w="2268" w:type="dxa"/>
            <w:vAlign w:val="center"/>
          </w:tcPr>
          <w:p>
            <w:pPr>
              <w:pStyle w:val="12"/>
            </w:pPr>
            <w:r>
              <w:t>≥90%</w:t>
            </w:r>
          </w:p>
        </w:tc>
        <w:tc>
          <w:tcPr>
            <w:tcW w:w="1276" w:type="dxa"/>
            <w:vAlign w:val="center"/>
          </w:tcPr>
          <w:p>
            <w:pPr>
              <w:pStyle w:val="12"/>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被检查单位满意度</w:t>
            </w:r>
          </w:p>
        </w:tc>
        <w:tc>
          <w:tcPr>
            <w:tcW w:w="5386" w:type="dxa"/>
            <w:vAlign w:val="center"/>
          </w:tcPr>
          <w:p>
            <w:pPr>
              <w:pStyle w:val="12"/>
            </w:pPr>
            <w:r>
              <w:t>被检查单位满意度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5、医保局退役军人公益岗位工资补贴2025绩效目标表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13011025P00326010025Y</w:t>
            </w:r>
          </w:p>
        </w:tc>
        <w:tc>
          <w:tcPr>
            <w:tcW w:w="2835" w:type="dxa"/>
            <w:vAlign w:val="center"/>
          </w:tcPr>
          <w:p>
            <w:pPr>
              <w:pStyle w:val="10"/>
            </w:pPr>
            <w:r>
              <w:t>项目名称</w:t>
            </w:r>
          </w:p>
        </w:tc>
        <w:tc>
          <w:tcPr>
            <w:tcW w:w="6095" w:type="dxa"/>
            <w:gridSpan w:val="3"/>
            <w:vAlign w:val="center"/>
          </w:tcPr>
          <w:p>
            <w:pPr>
              <w:pStyle w:val="12"/>
            </w:pPr>
            <w:r>
              <w:t>医保局退役军人公益岗位工资补贴2025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我单位共有2名涉军公益岗位人员，实施公益岗托底安置，用于工资发放保险缴纳。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1.根据鹿文办【2017】31号文件规定，我单位共有2名涉军公益岗位人员，实施公益岗托底安置，用于工资发放保险缴纳，共需12万元。</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本单位劳务派遣人员人数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工资发放标准</w:t>
            </w:r>
          </w:p>
        </w:tc>
        <w:tc>
          <w:tcPr>
            <w:tcW w:w="5386" w:type="dxa"/>
            <w:vAlign w:val="center"/>
          </w:tcPr>
          <w:p>
            <w:pPr>
              <w:pStyle w:val="12"/>
            </w:pPr>
            <w:r>
              <w:t>本单位涉军劳务派遣人员工资</w:t>
            </w:r>
          </w:p>
        </w:tc>
        <w:tc>
          <w:tcPr>
            <w:tcW w:w="2268" w:type="dxa"/>
            <w:vAlign w:val="center"/>
          </w:tcPr>
          <w:p>
            <w:pPr>
              <w:pStyle w:val="12"/>
            </w:pPr>
            <w:r>
              <w:t>≥60000元/人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工资发放准确率</w:t>
            </w:r>
          </w:p>
        </w:tc>
        <w:tc>
          <w:tcPr>
            <w:tcW w:w="5386" w:type="dxa"/>
            <w:vAlign w:val="center"/>
          </w:tcPr>
          <w:p>
            <w:pPr>
              <w:pStyle w:val="12"/>
            </w:pPr>
            <w:r>
              <w:t>工资发放金额准确</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工资发放及时率</w:t>
            </w:r>
          </w:p>
        </w:tc>
        <w:tc>
          <w:tcPr>
            <w:tcW w:w="5386" w:type="dxa"/>
            <w:vAlign w:val="center"/>
          </w:tcPr>
          <w:p>
            <w:pPr>
              <w:pStyle w:val="12"/>
            </w:pPr>
            <w:r>
              <w:t>每月工资发放是否及时到位</w:t>
            </w:r>
          </w:p>
        </w:tc>
        <w:tc>
          <w:tcPr>
            <w:tcW w:w="2268" w:type="dxa"/>
            <w:vAlign w:val="center"/>
          </w:tcPr>
          <w:p>
            <w:pPr>
              <w:pStyle w:val="12"/>
            </w:pPr>
            <w:r>
              <w:t>≥100每月及时发放到位</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增加就业岗位数</w:t>
            </w:r>
          </w:p>
        </w:tc>
        <w:tc>
          <w:tcPr>
            <w:tcW w:w="5386" w:type="dxa"/>
            <w:vAlign w:val="center"/>
          </w:tcPr>
          <w:p>
            <w:pPr>
              <w:pStyle w:val="12"/>
            </w:pPr>
            <w:r>
              <w:t>增加就业岗位数</w:t>
            </w:r>
          </w:p>
        </w:tc>
        <w:tc>
          <w:tcPr>
            <w:tcW w:w="2268" w:type="dxa"/>
            <w:vAlign w:val="center"/>
          </w:tcPr>
          <w:p>
            <w:pPr>
              <w:pStyle w:val="12"/>
            </w:pPr>
            <w:r>
              <w:t>2个</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托管安置人数</w:t>
            </w:r>
          </w:p>
        </w:tc>
        <w:tc>
          <w:tcPr>
            <w:tcW w:w="5386" w:type="dxa"/>
            <w:vAlign w:val="center"/>
          </w:tcPr>
          <w:p>
            <w:pPr>
              <w:pStyle w:val="12"/>
            </w:pPr>
            <w:r>
              <w:t>本单位安置退役士兵人数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≥96%</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6、医疗保险专项经费2025绩效目标表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13011025P003260100276</w:t>
            </w:r>
          </w:p>
        </w:tc>
        <w:tc>
          <w:tcPr>
            <w:tcW w:w="2835" w:type="dxa"/>
            <w:vAlign w:val="center"/>
          </w:tcPr>
          <w:p>
            <w:pPr>
              <w:pStyle w:val="10"/>
            </w:pPr>
            <w:r>
              <w:t>项目名称</w:t>
            </w:r>
          </w:p>
        </w:tc>
        <w:tc>
          <w:tcPr>
            <w:tcW w:w="6095" w:type="dxa"/>
            <w:gridSpan w:val="3"/>
            <w:vAlign w:val="center"/>
          </w:tcPr>
          <w:p>
            <w:pPr>
              <w:pStyle w:val="12"/>
            </w:pPr>
            <w:r>
              <w:t>医疗保险专项经费2025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用于印制宣传材料50000余册、本年度内开展4次以上业务培训及医保宣传活动、开展行政执法活动等，共需专项经费20万元。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医保局为切实保障全区医疗保障事业平稳、健康、可持续发展，严厉打击欺诈骗保行为，加强行政执法力度。及随着各项业务下放等，需要印制宣传材料50000余册、本年度内开展4次以上业务培训及医保宣传活动、开展行政执法活动等，共需专项经费20万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印制宣传材料数量</w:t>
            </w:r>
          </w:p>
        </w:tc>
        <w:tc>
          <w:tcPr>
            <w:tcW w:w="5386" w:type="dxa"/>
            <w:vAlign w:val="center"/>
          </w:tcPr>
          <w:p>
            <w:pPr>
              <w:pStyle w:val="12"/>
            </w:pPr>
            <w:r>
              <w:t>印制宣传材料数量</w:t>
            </w:r>
          </w:p>
        </w:tc>
        <w:tc>
          <w:tcPr>
            <w:tcW w:w="2268" w:type="dxa"/>
            <w:vAlign w:val="center"/>
          </w:tcPr>
          <w:p>
            <w:pPr>
              <w:pStyle w:val="12"/>
            </w:pPr>
            <w:r>
              <w:t>≥50000册</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宣传情况完成率</w:t>
            </w:r>
          </w:p>
        </w:tc>
        <w:tc>
          <w:tcPr>
            <w:tcW w:w="5386" w:type="dxa"/>
            <w:vAlign w:val="center"/>
          </w:tcPr>
          <w:p>
            <w:pPr>
              <w:pStyle w:val="12"/>
            </w:pPr>
            <w:r>
              <w:t>宣传情况完成率</w:t>
            </w:r>
          </w:p>
        </w:tc>
        <w:tc>
          <w:tcPr>
            <w:tcW w:w="2268" w:type="dxa"/>
            <w:vAlign w:val="center"/>
          </w:tcPr>
          <w:p>
            <w:pPr>
              <w:pStyle w:val="12"/>
            </w:pPr>
            <w:r>
              <w:t>≥95%</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业务培训、宣传行政执法成本</w:t>
            </w:r>
          </w:p>
        </w:tc>
        <w:tc>
          <w:tcPr>
            <w:tcW w:w="5386" w:type="dxa"/>
            <w:vAlign w:val="center"/>
          </w:tcPr>
          <w:p>
            <w:pPr>
              <w:pStyle w:val="12"/>
            </w:pPr>
            <w:r>
              <w:t>业务培训、宣传行政执法成本</w:t>
            </w:r>
          </w:p>
        </w:tc>
        <w:tc>
          <w:tcPr>
            <w:tcW w:w="2268" w:type="dxa"/>
            <w:vAlign w:val="center"/>
          </w:tcPr>
          <w:p>
            <w:pPr>
              <w:pStyle w:val="12"/>
            </w:pPr>
            <w:r>
              <w:t>≤200000元</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提供服务次数</w:t>
            </w:r>
          </w:p>
        </w:tc>
        <w:tc>
          <w:tcPr>
            <w:tcW w:w="5386" w:type="dxa"/>
            <w:vAlign w:val="center"/>
          </w:tcPr>
          <w:p>
            <w:pPr>
              <w:pStyle w:val="12"/>
            </w:pPr>
            <w:r>
              <w:t>为办事群众服务次数</w:t>
            </w:r>
          </w:p>
        </w:tc>
        <w:tc>
          <w:tcPr>
            <w:tcW w:w="2268" w:type="dxa"/>
            <w:vAlign w:val="center"/>
          </w:tcPr>
          <w:p>
            <w:pPr>
              <w:pStyle w:val="12"/>
            </w:pPr>
            <w:r>
              <w:t>≥50000次</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办事群众满意度</w:t>
            </w:r>
          </w:p>
        </w:tc>
        <w:tc>
          <w:tcPr>
            <w:tcW w:w="5386" w:type="dxa"/>
            <w:vAlign w:val="center"/>
          </w:tcPr>
          <w:p>
            <w:pPr>
              <w:pStyle w:val="12"/>
            </w:pPr>
            <w:r>
              <w:t>办事群众满意度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石家庄市鹿泉区医疗保障局本级上年末固定资产金额为25.60万元（详见下表）。本年度拟购置固定资产总额为0.00万元，已按要求列入政府采购预算，详见政府采购预算表。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365001石家庄市鹿泉区医疗保障局本级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305</w:t>
            </w:r>
          </w:p>
        </w:tc>
        <w:tc>
          <w:tcPr>
            <w:tcW w:w="2835" w:type="dxa"/>
            <w:vAlign w:val="center"/>
          </w:tcPr>
          <w:p>
            <w:pPr>
              <w:pStyle w:val="11"/>
            </w:pPr>
            <w:r>
              <w:t>25.60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二、石家庄市鹿泉区医疗保险管理中心收支预算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5873.81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73.34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5767.39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5873.81</w:t>
            </w:r>
          </w:p>
        </w:tc>
        <w:tc>
          <w:tcPr>
            <w:tcW w:w="4535" w:type="dxa"/>
            <w:vAlign w:val="center"/>
          </w:tcPr>
          <w:p>
            <w:pPr>
              <w:pStyle w:val="14"/>
            </w:pPr>
            <w:r>
              <w:t>本年支出合计</w:t>
            </w:r>
          </w:p>
        </w:tc>
        <w:tc>
          <w:tcPr>
            <w:tcW w:w="2126" w:type="dxa"/>
            <w:vAlign w:val="center"/>
          </w:tcPr>
          <w:p>
            <w:pPr>
              <w:pStyle w:val="15"/>
            </w:pPr>
            <w:r>
              <w:t>5873.81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5873.81</w:t>
            </w:r>
          </w:p>
        </w:tc>
        <w:tc>
          <w:tcPr>
            <w:tcW w:w="4535" w:type="dxa"/>
            <w:vAlign w:val="center"/>
          </w:tcPr>
          <w:p>
            <w:pPr>
              <w:pStyle w:val="14"/>
            </w:pPr>
            <w:r>
              <w:t>支出总计</w:t>
            </w:r>
          </w:p>
        </w:tc>
        <w:tc>
          <w:tcPr>
            <w:tcW w:w="2126" w:type="dxa"/>
            <w:vAlign w:val="center"/>
          </w:tcPr>
          <w:p>
            <w:pPr>
              <w:pStyle w:val="15"/>
            </w:pPr>
            <w:r>
              <w:t>5873.81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5873.81</w:t>
            </w:r>
          </w:p>
        </w:tc>
        <w:tc>
          <w:tcPr>
            <w:tcW w:w="1134" w:type="dxa"/>
            <w:vAlign w:val="center"/>
          </w:tcPr>
          <w:p>
            <w:pPr>
              <w:pStyle w:val="15"/>
            </w:pPr>
            <w:r>
              <w:t>5873.81</w:t>
            </w:r>
          </w:p>
        </w:tc>
        <w:tc>
          <w:tcPr>
            <w:tcW w:w="1134" w:type="dxa"/>
            <w:vAlign w:val="center"/>
          </w:tcPr>
          <w:p>
            <w:pPr>
              <w:pStyle w:val="15"/>
            </w:pPr>
            <w:r>
              <w:t>5873.81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73.34</w:t>
            </w:r>
          </w:p>
        </w:tc>
        <w:tc>
          <w:tcPr>
            <w:tcW w:w="1134" w:type="dxa"/>
            <w:vAlign w:val="center"/>
          </w:tcPr>
          <w:p>
            <w:pPr>
              <w:pStyle w:val="11"/>
            </w:pPr>
            <w:r>
              <w:t>73.34</w:t>
            </w:r>
          </w:p>
        </w:tc>
        <w:tc>
          <w:tcPr>
            <w:tcW w:w="1134" w:type="dxa"/>
            <w:vAlign w:val="center"/>
          </w:tcPr>
          <w:p>
            <w:pPr>
              <w:pStyle w:val="11"/>
            </w:pPr>
            <w:r>
              <w:t>73.34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61.34</w:t>
            </w:r>
          </w:p>
        </w:tc>
        <w:tc>
          <w:tcPr>
            <w:tcW w:w="1134" w:type="dxa"/>
            <w:vAlign w:val="center"/>
          </w:tcPr>
          <w:p>
            <w:pPr>
              <w:pStyle w:val="11"/>
            </w:pPr>
            <w:r>
              <w:t>61.34</w:t>
            </w:r>
          </w:p>
        </w:tc>
        <w:tc>
          <w:tcPr>
            <w:tcW w:w="1134" w:type="dxa"/>
            <w:vAlign w:val="center"/>
          </w:tcPr>
          <w:p>
            <w:pPr>
              <w:pStyle w:val="11"/>
            </w:pPr>
            <w:r>
              <w:t>61.34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25.18</w:t>
            </w:r>
          </w:p>
        </w:tc>
        <w:tc>
          <w:tcPr>
            <w:tcW w:w="1134" w:type="dxa"/>
            <w:vAlign w:val="center"/>
          </w:tcPr>
          <w:p>
            <w:pPr>
              <w:pStyle w:val="11"/>
            </w:pPr>
            <w:r>
              <w:t>25.18</w:t>
            </w:r>
          </w:p>
        </w:tc>
        <w:tc>
          <w:tcPr>
            <w:tcW w:w="1134" w:type="dxa"/>
            <w:vAlign w:val="center"/>
          </w:tcPr>
          <w:p>
            <w:pPr>
              <w:pStyle w:val="11"/>
            </w:pPr>
            <w:r>
              <w:t>25.18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36.16</w:t>
            </w:r>
          </w:p>
        </w:tc>
        <w:tc>
          <w:tcPr>
            <w:tcW w:w="1134" w:type="dxa"/>
            <w:vAlign w:val="center"/>
          </w:tcPr>
          <w:p>
            <w:pPr>
              <w:pStyle w:val="11"/>
            </w:pPr>
            <w:r>
              <w:t>36.16</w:t>
            </w:r>
          </w:p>
        </w:tc>
        <w:tc>
          <w:tcPr>
            <w:tcW w:w="1134" w:type="dxa"/>
            <w:vAlign w:val="center"/>
          </w:tcPr>
          <w:p>
            <w:pPr>
              <w:pStyle w:val="11"/>
            </w:pPr>
            <w:r>
              <w:t>36.16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5767.39</w:t>
            </w:r>
          </w:p>
        </w:tc>
        <w:tc>
          <w:tcPr>
            <w:tcW w:w="1134" w:type="dxa"/>
            <w:vAlign w:val="center"/>
          </w:tcPr>
          <w:p>
            <w:pPr>
              <w:pStyle w:val="11"/>
            </w:pPr>
            <w:r>
              <w:t>5767.39</w:t>
            </w:r>
          </w:p>
        </w:tc>
        <w:tc>
          <w:tcPr>
            <w:tcW w:w="1134" w:type="dxa"/>
            <w:vAlign w:val="center"/>
          </w:tcPr>
          <w:p>
            <w:pPr>
              <w:pStyle w:val="11"/>
            </w:pPr>
            <w:r>
              <w:t>5767.39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5104.00</w:t>
            </w:r>
          </w:p>
        </w:tc>
        <w:tc>
          <w:tcPr>
            <w:tcW w:w="1134" w:type="dxa"/>
            <w:vAlign w:val="center"/>
          </w:tcPr>
          <w:p>
            <w:pPr>
              <w:pStyle w:val="11"/>
            </w:pPr>
            <w:r>
              <w:t>5104.00</w:t>
            </w:r>
          </w:p>
        </w:tc>
        <w:tc>
          <w:tcPr>
            <w:tcW w:w="1134" w:type="dxa"/>
            <w:vAlign w:val="center"/>
          </w:tcPr>
          <w:p>
            <w:pPr>
              <w:pStyle w:val="11"/>
            </w:pPr>
            <w:r>
              <w:t>5104.00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5104.00</w:t>
            </w:r>
          </w:p>
        </w:tc>
        <w:tc>
          <w:tcPr>
            <w:tcW w:w="1134" w:type="dxa"/>
            <w:vAlign w:val="center"/>
          </w:tcPr>
          <w:p>
            <w:pPr>
              <w:pStyle w:val="11"/>
            </w:pPr>
            <w:r>
              <w:t>5104.00</w:t>
            </w:r>
          </w:p>
        </w:tc>
        <w:tc>
          <w:tcPr>
            <w:tcW w:w="1134" w:type="dxa"/>
            <w:vAlign w:val="center"/>
          </w:tcPr>
          <w:p>
            <w:pPr>
              <w:pStyle w:val="11"/>
            </w:pPr>
            <w:r>
              <w:t>5104.00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21014</w:t>
            </w:r>
          </w:p>
        </w:tc>
        <w:tc>
          <w:tcPr>
            <w:tcW w:w="1559" w:type="dxa"/>
            <w:vAlign w:val="center"/>
          </w:tcPr>
          <w:p>
            <w:pPr>
              <w:pStyle w:val="12"/>
            </w:pPr>
            <w:r>
              <w:t>优抚对象医疗</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2101499</w:t>
            </w:r>
          </w:p>
        </w:tc>
        <w:tc>
          <w:tcPr>
            <w:tcW w:w="1559" w:type="dxa"/>
            <w:vAlign w:val="center"/>
          </w:tcPr>
          <w:p>
            <w:pPr>
              <w:pStyle w:val="12"/>
            </w:pPr>
            <w:r>
              <w:t>其他优抚对象医疗支出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337.57</w:t>
            </w:r>
          </w:p>
        </w:tc>
        <w:tc>
          <w:tcPr>
            <w:tcW w:w="1134" w:type="dxa"/>
            <w:vAlign w:val="center"/>
          </w:tcPr>
          <w:p>
            <w:pPr>
              <w:pStyle w:val="11"/>
            </w:pPr>
            <w:r>
              <w:t>337.57</w:t>
            </w:r>
          </w:p>
        </w:tc>
        <w:tc>
          <w:tcPr>
            <w:tcW w:w="1134" w:type="dxa"/>
            <w:vAlign w:val="center"/>
          </w:tcPr>
          <w:p>
            <w:pPr>
              <w:pStyle w:val="11"/>
            </w:pPr>
            <w:r>
              <w:t>337.57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2101550</w:t>
            </w:r>
          </w:p>
        </w:tc>
        <w:tc>
          <w:tcPr>
            <w:tcW w:w="1559" w:type="dxa"/>
            <w:vAlign w:val="center"/>
          </w:tcPr>
          <w:p>
            <w:pPr>
              <w:pStyle w:val="12"/>
            </w:pPr>
            <w:r>
              <w:t>事业运行</w:t>
            </w:r>
          </w:p>
        </w:tc>
        <w:tc>
          <w:tcPr>
            <w:tcW w:w="1134" w:type="dxa"/>
            <w:vAlign w:val="center"/>
          </w:tcPr>
          <w:p>
            <w:pPr>
              <w:pStyle w:val="11"/>
            </w:pPr>
            <w:r>
              <w:t>337.57</w:t>
            </w:r>
          </w:p>
        </w:tc>
        <w:tc>
          <w:tcPr>
            <w:tcW w:w="1134" w:type="dxa"/>
            <w:vAlign w:val="center"/>
          </w:tcPr>
          <w:p>
            <w:pPr>
              <w:pStyle w:val="11"/>
            </w:pPr>
            <w:r>
              <w:t>337.57</w:t>
            </w:r>
          </w:p>
        </w:tc>
        <w:tc>
          <w:tcPr>
            <w:tcW w:w="1134" w:type="dxa"/>
            <w:vAlign w:val="center"/>
          </w:tcPr>
          <w:p>
            <w:pPr>
              <w:pStyle w:val="11"/>
            </w:pPr>
            <w:r>
              <w:t>337.57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33.08</w:t>
            </w:r>
          </w:p>
        </w:tc>
        <w:tc>
          <w:tcPr>
            <w:tcW w:w="1134" w:type="dxa"/>
            <w:vAlign w:val="center"/>
          </w:tcPr>
          <w:p>
            <w:pPr>
              <w:pStyle w:val="11"/>
            </w:pPr>
            <w:r>
              <w:t>33.08</w:t>
            </w:r>
          </w:p>
        </w:tc>
        <w:tc>
          <w:tcPr>
            <w:tcW w:w="1134" w:type="dxa"/>
            <w:vAlign w:val="center"/>
          </w:tcPr>
          <w:p>
            <w:pPr>
              <w:pStyle w:val="11"/>
            </w:pPr>
            <w:r>
              <w:t>33.08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33.08</w:t>
            </w:r>
          </w:p>
        </w:tc>
        <w:tc>
          <w:tcPr>
            <w:tcW w:w="1134" w:type="dxa"/>
            <w:vAlign w:val="center"/>
          </w:tcPr>
          <w:p>
            <w:pPr>
              <w:pStyle w:val="11"/>
            </w:pPr>
            <w:r>
              <w:t>33.08</w:t>
            </w:r>
          </w:p>
        </w:tc>
        <w:tc>
          <w:tcPr>
            <w:tcW w:w="1134" w:type="dxa"/>
            <w:vAlign w:val="center"/>
          </w:tcPr>
          <w:p>
            <w:pPr>
              <w:pStyle w:val="11"/>
            </w:pPr>
            <w:r>
              <w:t>33.08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33.08</w:t>
            </w:r>
          </w:p>
        </w:tc>
        <w:tc>
          <w:tcPr>
            <w:tcW w:w="1134" w:type="dxa"/>
            <w:vAlign w:val="center"/>
          </w:tcPr>
          <w:p>
            <w:pPr>
              <w:pStyle w:val="11"/>
            </w:pPr>
            <w:r>
              <w:t>33.08</w:t>
            </w:r>
          </w:p>
        </w:tc>
        <w:tc>
          <w:tcPr>
            <w:tcW w:w="1134" w:type="dxa"/>
            <w:vAlign w:val="center"/>
          </w:tcPr>
          <w:p>
            <w:pPr>
              <w:pStyle w:val="11"/>
            </w:pPr>
            <w:r>
              <w:t>33.08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5873.81</w:t>
            </w:r>
          </w:p>
        </w:tc>
        <w:tc>
          <w:tcPr>
            <w:tcW w:w="1361" w:type="dxa"/>
            <w:vAlign w:val="center"/>
          </w:tcPr>
          <w:p>
            <w:pPr>
              <w:pStyle w:val="15"/>
            </w:pPr>
            <w:r>
              <w:t>457.81</w:t>
            </w:r>
          </w:p>
        </w:tc>
        <w:tc>
          <w:tcPr>
            <w:tcW w:w="1361" w:type="dxa"/>
            <w:vAlign w:val="center"/>
          </w:tcPr>
          <w:p>
            <w:pPr>
              <w:pStyle w:val="15"/>
            </w:pPr>
            <w:r>
              <w:t>5416.00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73.34</w:t>
            </w:r>
          </w:p>
        </w:tc>
        <w:tc>
          <w:tcPr>
            <w:tcW w:w="1361" w:type="dxa"/>
            <w:vAlign w:val="center"/>
          </w:tcPr>
          <w:p>
            <w:pPr>
              <w:pStyle w:val="11"/>
            </w:pPr>
            <w:r>
              <w:t>61.34</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61.34</w:t>
            </w:r>
          </w:p>
        </w:tc>
        <w:tc>
          <w:tcPr>
            <w:tcW w:w="1361" w:type="dxa"/>
            <w:vAlign w:val="center"/>
          </w:tcPr>
          <w:p>
            <w:pPr>
              <w:pStyle w:val="11"/>
            </w:pPr>
            <w:r>
              <w:t>61.34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25.18</w:t>
            </w:r>
          </w:p>
        </w:tc>
        <w:tc>
          <w:tcPr>
            <w:tcW w:w="1361" w:type="dxa"/>
            <w:vAlign w:val="center"/>
          </w:tcPr>
          <w:p>
            <w:pPr>
              <w:pStyle w:val="11"/>
            </w:pPr>
            <w:r>
              <w:t>25.18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36.16</w:t>
            </w:r>
          </w:p>
        </w:tc>
        <w:tc>
          <w:tcPr>
            <w:tcW w:w="1361" w:type="dxa"/>
            <w:vAlign w:val="center"/>
          </w:tcPr>
          <w:p>
            <w:pPr>
              <w:pStyle w:val="11"/>
            </w:pPr>
            <w:r>
              <w:t>36.16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5767.39</w:t>
            </w:r>
          </w:p>
        </w:tc>
        <w:tc>
          <w:tcPr>
            <w:tcW w:w="1361" w:type="dxa"/>
            <w:vAlign w:val="center"/>
          </w:tcPr>
          <w:p>
            <w:pPr>
              <w:pStyle w:val="11"/>
            </w:pPr>
            <w:r>
              <w:t>363.39</w:t>
            </w:r>
          </w:p>
        </w:tc>
        <w:tc>
          <w:tcPr>
            <w:tcW w:w="1361" w:type="dxa"/>
            <w:vAlign w:val="center"/>
          </w:tcPr>
          <w:p>
            <w:pPr>
              <w:pStyle w:val="11"/>
            </w:pPr>
            <w:r>
              <w:t>5404.00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25.82</w:t>
            </w:r>
          </w:p>
        </w:tc>
        <w:tc>
          <w:tcPr>
            <w:tcW w:w="1361" w:type="dxa"/>
            <w:vAlign w:val="center"/>
          </w:tcPr>
          <w:p>
            <w:pPr>
              <w:pStyle w:val="11"/>
            </w:pPr>
            <w:r>
              <w:t>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25.82</w:t>
            </w:r>
          </w:p>
        </w:tc>
        <w:tc>
          <w:tcPr>
            <w:tcW w:w="1361" w:type="dxa"/>
            <w:vAlign w:val="center"/>
          </w:tcPr>
          <w:p>
            <w:pPr>
              <w:pStyle w:val="11"/>
            </w:pPr>
            <w:r>
              <w:t>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5104.00</w:t>
            </w:r>
          </w:p>
        </w:tc>
        <w:tc>
          <w:tcPr>
            <w:tcW w:w="1361" w:type="dxa"/>
            <w:vAlign w:val="center"/>
          </w:tcPr>
          <w:p>
            <w:pPr>
              <w:pStyle w:val="11"/>
            </w:pPr>
          </w:p>
        </w:tc>
        <w:tc>
          <w:tcPr>
            <w:tcW w:w="1361" w:type="dxa"/>
            <w:vAlign w:val="center"/>
          </w:tcPr>
          <w:p>
            <w:pPr>
              <w:pStyle w:val="11"/>
            </w:pPr>
            <w:r>
              <w:t>5104.00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5104.00</w:t>
            </w:r>
          </w:p>
        </w:tc>
        <w:tc>
          <w:tcPr>
            <w:tcW w:w="1361" w:type="dxa"/>
            <w:vAlign w:val="center"/>
          </w:tcPr>
          <w:p>
            <w:pPr>
              <w:pStyle w:val="11"/>
            </w:pPr>
          </w:p>
        </w:tc>
        <w:tc>
          <w:tcPr>
            <w:tcW w:w="1361" w:type="dxa"/>
            <w:vAlign w:val="center"/>
          </w:tcPr>
          <w:p>
            <w:pPr>
              <w:pStyle w:val="11"/>
            </w:pPr>
            <w:r>
              <w:t>5104.00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21014</w:t>
            </w:r>
          </w:p>
        </w:tc>
        <w:tc>
          <w:tcPr>
            <w:tcW w:w="4535" w:type="dxa"/>
            <w:vAlign w:val="center"/>
          </w:tcPr>
          <w:p>
            <w:pPr>
              <w:pStyle w:val="12"/>
            </w:pPr>
            <w:r>
              <w:t>优抚对象医疗</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2101499</w:t>
            </w:r>
          </w:p>
        </w:tc>
        <w:tc>
          <w:tcPr>
            <w:tcW w:w="4535" w:type="dxa"/>
            <w:vAlign w:val="center"/>
          </w:tcPr>
          <w:p>
            <w:pPr>
              <w:pStyle w:val="12"/>
            </w:pPr>
            <w:r>
              <w:t>其他优抚对象医疗支出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337.57</w:t>
            </w:r>
          </w:p>
        </w:tc>
        <w:tc>
          <w:tcPr>
            <w:tcW w:w="1361" w:type="dxa"/>
            <w:vAlign w:val="center"/>
          </w:tcPr>
          <w:p>
            <w:pPr>
              <w:pStyle w:val="11"/>
            </w:pPr>
            <w:r>
              <w:t>337.57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2101550</w:t>
            </w:r>
          </w:p>
        </w:tc>
        <w:tc>
          <w:tcPr>
            <w:tcW w:w="4535" w:type="dxa"/>
            <w:vAlign w:val="center"/>
          </w:tcPr>
          <w:p>
            <w:pPr>
              <w:pStyle w:val="12"/>
            </w:pPr>
            <w:r>
              <w:t>事业运行</w:t>
            </w:r>
          </w:p>
        </w:tc>
        <w:tc>
          <w:tcPr>
            <w:tcW w:w="1361" w:type="dxa"/>
            <w:vAlign w:val="center"/>
          </w:tcPr>
          <w:p>
            <w:pPr>
              <w:pStyle w:val="11"/>
            </w:pPr>
            <w:r>
              <w:t>337.57</w:t>
            </w:r>
          </w:p>
        </w:tc>
        <w:tc>
          <w:tcPr>
            <w:tcW w:w="1361" w:type="dxa"/>
            <w:vAlign w:val="center"/>
          </w:tcPr>
          <w:p>
            <w:pPr>
              <w:pStyle w:val="11"/>
            </w:pPr>
            <w:r>
              <w:t>337.57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33.08</w:t>
            </w:r>
          </w:p>
        </w:tc>
        <w:tc>
          <w:tcPr>
            <w:tcW w:w="1361" w:type="dxa"/>
            <w:vAlign w:val="center"/>
          </w:tcPr>
          <w:p>
            <w:pPr>
              <w:pStyle w:val="11"/>
            </w:pPr>
            <w:r>
              <w:t>33.08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33.08</w:t>
            </w:r>
          </w:p>
        </w:tc>
        <w:tc>
          <w:tcPr>
            <w:tcW w:w="1361" w:type="dxa"/>
            <w:vAlign w:val="center"/>
          </w:tcPr>
          <w:p>
            <w:pPr>
              <w:pStyle w:val="11"/>
            </w:pPr>
            <w:r>
              <w:t>33.08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33.08</w:t>
            </w:r>
          </w:p>
        </w:tc>
        <w:tc>
          <w:tcPr>
            <w:tcW w:w="1361" w:type="dxa"/>
            <w:vAlign w:val="center"/>
          </w:tcPr>
          <w:p>
            <w:pPr>
              <w:pStyle w:val="11"/>
            </w:pPr>
            <w:r>
              <w:t>33.08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5873.81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73.34</w:t>
            </w:r>
          </w:p>
        </w:tc>
        <w:tc>
          <w:tcPr>
            <w:tcW w:w="1474" w:type="dxa"/>
            <w:vAlign w:val="center"/>
          </w:tcPr>
          <w:p>
            <w:pPr>
              <w:pStyle w:val="11"/>
            </w:pPr>
            <w:r>
              <w:t>73.34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5767.39</w:t>
            </w:r>
          </w:p>
        </w:tc>
        <w:tc>
          <w:tcPr>
            <w:tcW w:w="1474" w:type="dxa"/>
            <w:vAlign w:val="center"/>
          </w:tcPr>
          <w:p>
            <w:pPr>
              <w:pStyle w:val="11"/>
            </w:pPr>
            <w:r>
              <w:t>5767.39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33.08</w:t>
            </w:r>
          </w:p>
        </w:tc>
        <w:tc>
          <w:tcPr>
            <w:tcW w:w="1474" w:type="dxa"/>
            <w:vAlign w:val="center"/>
          </w:tcPr>
          <w:p>
            <w:pPr>
              <w:pStyle w:val="11"/>
            </w:pPr>
            <w:r>
              <w:t>33.08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5873.81</w:t>
            </w:r>
          </w:p>
        </w:tc>
        <w:tc>
          <w:tcPr>
            <w:tcW w:w="3402" w:type="dxa"/>
            <w:vAlign w:val="center"/>
          </w:tcPr>
          <w:p>
            <w:pPr>
              <w:pStyle w:val="14"/>
            </w:pPr>
            <w:r>
              <w:t>本年支出合计</w:t>
            </w:r>
          </w:p>
        </w:tc>
        <w:tc>
          <w:tcPr>
            <w:tcW w:w="1474" w:type="dxa"/>
            <w:vAlign w:val="center"/>
          </w:tcPr>
          <w:p>
            <w:pPr>
              <w:pStyle w:val="15"/>
            </w:pPr>
            <w:r>
              <w:t>5873.81</w:t>
            </w:r>
          </w:p>
        </w:tc>
        <w:tc>
          <w:tcPr>
            <w:tcW w:w="1474" w:type="dxa"/>
            <w:vAlign w:val="center"/>
          </w:tcPr>
          <w:p>
            <w:pPr>
              <w:pStyle w:val="15"/>
            </w:pPr>
            <w:r>
              <w:t>5873.81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5873.81</w:t>
            </w:r>
          </w:p>
        </w:tc>
        <w:tc>
          <w:tcPr>
            <w:tcW w:w="3402" w:type="dxa"/>
            <w:vAlign w:val="center"/>
          </w:tcPr>
          <w:p>
            <w:pPr>
              <w:pStyle w:val="14"/>
            </w:pPr>
            <w:r>
              <w:t>支出总计</w:t>
            </w:r>
          </w:p>
        </w:tc>
        <w:tc>
          <w:tcPr>
            <w:tcW w:w="1474" w:type="dxa"/>
            <w:vAlign w:val="center"/>
          </w:tcPr>
          <w:p>
            <w:pPr>
              <w:pStyle w:val="15"/>
            </w:pPr>
            <w:r>
              <w:t>5873.81</w:t>
            </w:r>
          </w:p>
        </w:tc>
        <w:tc>
          <w:tcPr>
            <w:tcW w:w="1474" w:type="dxa"/>
            <w:vAlign w:val="center"/>
          </w:tcPr>
          <w:p>
            <w:pPr>
              <w:pStyle w:val="15"/>
            </w:pPr>
            <w:r>
              <w:t>5873.81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5873.81</w:t>
            </w:r>
          </w:p>
        </w:tc>
        <w:tc>
          <w:tcPr>
            <w:tcW w:w="2551" w:type="dxa"/>
            <w:vAlign w:val="center"/>
          </w:tcPr>
          <w:p>
            <w:pPr>
              <w:pStyle w:val="15"/>
            </w:pPr>
            <w:r>
              <w:t>457.81</w:t>
            </w:r>
          </w:p>
        </w:tc>
        <w:tc>
          <w:tcPr>
            <w:tcW w:w="2551" w:type="dxa"/>
            <w:vAlign w:val="center"/>
          </w:tcPr>
          <w:p>
            <w:pPr>
              <w:pStyle w:val="15"/>
            </w:pPr>
            <w:r>
              <w:t>5416.00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73.34</w:t>
            </w:r>
          </w:p>
        </w:tc>
        <w:tc>
          <w:tcPr>
            <w:tcW w:w="2551" w:type="dxa"/>
            <w:vAlign w:val="center"/>
          </w:tcPr>
          <w:p>
            <w:pPr>
              <w:pStyle w:val="11"/>
            </w:pPr>
            <w:r>
              <w:t>61.34</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61.34</w:t>
            </w:r>
          </w:p>
        </w:tc>
        <w:tc>
          <w:tcPr>
            <w:tcW w:w="2551" w:type="dxa"/>
            <w:vAlign w:val="center"/>
          </w:tcPr>
          <w:p>
            <w:pPr>
              <w:pStyle w:val="11"/>
            </w:pPr>
            <w:r>
              <w:t>61.34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25.18</w:t>
            </w:r>
          </w:p>
        </w:tc>
        <w:tc>
          <w:tcPr>
            <w:tcW w:w="2551" w:type="dxa"/>
            <w:vAlign w:val="center"/>
          </w:tcPr>
          <w:p>
            <w:pPr>
              <w:pStyle w:val="11"/>
            </w:pPr>
            <w:r>
              <w:t>25.18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36.16</w:t>
            </w:r>
          </w:p>
        </w:tc>
        <w:tc>
          <w:tcPr>
            <w:tcW w:w="2551" w:type="dxa"/>
            <w:vAlign w:val="center"/>
          </w:tcPr>
          <w:p>
            <w:pPr>
              <w:pStyle w:val="11"/>
            </w:pPr>
            <w:r>
              <w:t>36.16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5767.39</w:t>
            </w:r>
          </w:p>
        </w:tc>
        <w:tc>
          <w:tcPr>
            <w:tcW w:w="2551" w:type="dxa"/>
            <w:vAlign w:val="center"/>
          </w:tcPr>
          <w:p>
            <w:pPr>
              <w:pStyle w:val="11"/>
            </w:pPr>
            <w:r>
              <w:t>363.39</w:t>
            </w:r>
          </w:p>
        </w:tc>
        <w:tc>
          <w:tcPr>
            <w:tcW w:w="2551" w:type="dxa"/>
            <w:vAlign w:val="center"/>
          </w:tcPr>
          <w:p>
            <w:pPr>
              <w:pStyle w:val="11"/>
            </w:pPr>
            <w:r>
              <w:t>5404.00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25.82</w:t>
            </w:r>
          </w:p>
        </w:tc>
        <w:tc>
          <w:tcPr>
            <w:tcW w:w="2551" w:type="dxa"/>
            <w:vAlign w:val="center"/>
          </w:tcPr>
          <w:p>
            <w:pPr>
              <w:pStyle w:val="11"/>
            </w:pPr>
            <w:r>
              <w:t>25.82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25.82</w:t>
            </w:r>
          </w:p>
        </w:tc>
        <w:tc>
          <w:tcPr>
            <w:tcW w:w="2551" w:type="dxa"/>
            <w:vAlign w:val="center"/>
          </w:tcPr>
          <w:p>
            <w:pPr>
              <w:pStyle w:val="11"/>
            </w:pPr>
            <w:r>
              <w:t>25.82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5104.00</w:t>
            </w:r>
          </w:p>
        </w:tc>
        <w:tc>
          <w:tcPr>
            <w:tcW w:w="2551" w:type="dxa"/>
            <w:vAlign w:val="center"/>
          </w:tcPr>
          <w:p>
            <w:pPr>
              <w:pStyle w:val="11"/>
            </w:pPr>
          </w:p>
        </w:tc>
        <w:tc>
          <w:tcPr>
            <w:tcW w:w="2551" w:type="dxa"/>
            <w:vAlign w:val="center"/>
          </w:tcPr>
          <w:p>
            <w:pPr>
              <w:pStyle w:val="11"/>
            </w:pPr>
            <w:r>
              <w:t>5104.00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5104.00</w:t>
            </w:r>
          </w:p>
        </w:tc>
        <w:tc>
          <w:tcPr>
            <w:tcW w:w="2551" w:type="dxa"/>
            <w:vAlign w:val="center"/>
          </w:tcPr>
          <w:p>
            <w:pPr>
              <w:pStyle w:val="11"/>
            </w:pPr>
          </w:p>
        </w:tc>
        <w:tc>
          <w:tcPr>
            <w:tcW w:w="2551" w:type="dxa"/>
            <w:vAlign w:val="center"/>
          </w:tcPr>
          <w:p>
            <w:pPr>
              <w:pStyle w:val="11"/>
            </w:pPr>
            <w:r>
              <w:t>5104.00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21014</w:t>
            </w:r>
          </w:p>
        </w:tc>
        <w:tc>
          <w:tcPr>
            <w:tcW w:w="4535" w:type="dxa"/>
            <w:vAlign w:val="center"/>
          </w:tcPr>
          <w:p>
            <w:pPr>
              <w:pStyle w:val="12"/>
            </w:pPr>
            <w:r>
              <w:t>优抚对象医疗</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2101499</w:t>
            </w:r>
          </w:p>
        </w:tc>
        <w:tc>
          <w:tcPr>
            <w:tcW w:w="4535" w:type="dxa"/>
            <w:vAlign w:val="center"/>
          </w:tcPr>
          <w:p>
            <w:pPr>
              <w:pStyle w:val="12"/>
            </w:pPr>
            <w:r>
              <w:t>其他优抚对象医疗支出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337.57</w:t>
            </w:r>
          </w:p>
        </w:tc>
        <w:tc>
          <w:tcPr>
            <w:tcW w:w="2551" w:type="dxa"/>
            <w:vAlign w:val="center"/>
          </w:tcPr>
          <w:p>
            <w:pPr>
              <w:pStyle w:val="11"/>
            </w:pPr>
            <w:r>
              <w:t>337.57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2101550</w:t>
            </w:r>
          </w:p>
        </w:tc>
        <w:tc>
          <w:tcPr>
            <w:tcW w:w="4535" w:type="dxa"/>
            <w:vAlign w:val="center"/>
          </w:tcPr>
          <w:p>
            <w:pPr>
              <w:pStyle w:val="12"/>
            </w:pPr>
            <w:r>
              <w:t>事业运行</w:t>
            </w:r>
          </w:p>
        </w:tc>
        <w:tc>
          <w:tcPr>
            <w:tcW w:w="2551" w:type="dxa"/>
            <w:vAlign w:val="center"/>
          </w:tcPr>
          <w:p>
            <w:pPr>
              <w:pStyle w:val="11"/>
            </w:pPr>
            <w:r>
              <w:t>337.57</w:t>
            </w:r>
          </w:p>
        </w:tc>
        <w:tc>
          <w:tcPr>
            <w:tcW w:w="2551" w:type="dxa"/>
            <w:vAlign w:val="center"/>
          </w:tcPr>
          <w:p>
            <w:pPr>
              <w:pStyle w:val="11"/>
            </w:pPr>
            <w:r>
              <w:t>337.57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33.08</w:t>
            </w:r>
          </w:p>
        </w:tc>
        <w:tc>
          <w:tcPr>
            <w:tcW w:w="2551" w:type="dxa"/>
            <w:vAlign w:val="center"/>
          </w:tcPr>
          <w:p>
            <w:pPr>
              <w:pStyle w:val="11"/>
            </w:pPr>
            <w:r>
              <w:t>33.08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33.08</w:t>
            </w:r>
          </w:p>
        </w:tc>
        <w:tc>
          <w:tcPr>
            <w:tcW w:w="2551" w:type="dxa"/>
            <w:vAlign w:val="center"/>
          </w:tcPr>
          <w:p>
            <w:pPr>
              <w:pStyle w:val="11"/>
            </w:pPr>
            <w:r>
              <w:t>33.08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33.08</w:t>
            </w:r>
          </w:p>
        </w:tc>
        <w:tc>
          <w:tcPr>
            <w:tcW w:w="2551" w:type="dxa"/>
            <w:vAlign w:val="center"/>
          </w:tcPr>
          <w:p>
            <w:pPr>
              <w:pStyle w:val="11"/>
            </w:pPr>
            <w:r>
              <w:t>33.08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457.81</w:t>
            </w:r>
          </w:p>
        </w:tc>
        <w:tc>
          <w:tcPr>
            <w:tcW w:w="2551" w:type="dxa"/>
            <w:vAlign w:val="center"/>
          </w:tcPr>
          <w:p>
            <w:pPr>
              <w:pStyle w:val="15"/>
            </w:pPr>
            <w:r>
              <w:t>397.21</w:t>
            </w:r>
          </w:p>
        </w:tc>
        <w:tc>
          <w:tcPr>
            <w:tcW w:w="2551" w:type="dxa"/>
            <w:vAlign w:val="center"/>
          </w:tcPr>
          <w:p>
            <w:pPr>
              <w:pStyle w:val="15"/>
            </w:pPr>
            <w:r>
              <w:t>60.60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372.58</w:t>
            </w:r>
          </w:p>
        </w:tc>
        <w:tc>
          <w:tcPr>
            <w:tcW w:w="2551" w:type="dxa"/>
            <w:vAlign w:val="center"/>
          </w:tcPr>
          <w:p>
            <w:pPr>
              <w:pStyle w:val="11"/>
            </w:pPr>
            <w:r>
              <w:t>372.58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100.91</w:t>
            </w:r>
          </w:p>
        </w:tc>
        <w:tc>
          <w:tcPr>
            <w:tcW w:w="2551" w:type="dxa"/>
            <w:vAlign w:val="center"/>
          </w:tcPr>
          <w:p>
            <w:pPr>
              <w:pStyle w:val="11"/>
            </w:pPr>
            <w:r>
              <w:t>100.91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19.67</w:t>
            </w:r>
          </w:p>
        </w:tc>
        <w:tc>
          <w:tcPr>
            <w:tcW w:w="2551" w:type="dxa"/>
            <w:vAlign w:val="center"/>
          </w:tcPr>
          <w:p>
            <w:pPr>
              <w:pStyle w:val="11"/>
            </w:pPr>
            <w:r>
              <w:t>19.67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154.89</w:t>
            </w:r>
          </w:p>
        </w:tc>
        <w:tc>
          <w:tcPr>
            <w:tcW w:w="2551" w:type="dxa"/>
            <w:vAlign w:val="center"/>
          </w:tcPr>
          <w:p>
            <w:pPr>
              <w:pStyle w:val="11"/>
            </w:pPr>
            <w:r>
              <w:t>154.89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36.16</w:t>
            </w:r>
          </w:p>
        </w:tc>
        <w:tc>
          <w:tcPr>
            <w:tcW w:w="2551" w:type="dxa"/>
            <w:vAlign w:val="center"/>
          </w:tcPr>
          <w:p>
            <w:pPr>
              <w:pStyle w:val="11"/>
            </w:pPr>
            <w:r>
              <w:t>36.16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14.55</w:t>
            </w:r>
          </w:p>
        </w:tc>
        <w:tc>
          <w:tcPr>
            <w:tcW w:w="2551" w:type="dxa"/>
            <w:vAlign w:val="center"/>
          </w:tcPr>
          <w:p>
            <w:pPr>
              <w:pStyle w:val="11"/>
            </w:pPr>
            <w:r>
              <w:t>14.55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11.26</w:t>
            </w:r>
          </w:p>
        </w:tc>
        <w:tc>
          <w:tcPr>
            <w:tcW w:w="2551" w:type="dxa"/>
            <w:vAlign w:val="center"/>
          </w:tcPr>
          <w:p>
            <w:pPr>
              <w:pStyle w:val="11"/>
            </w:pPr>
            <w:r>
              <w:t>11.26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33.08</w:t>
            </w:r>
          </w:p>
        </w:tc>
        <w:tc>
          <w:tcPr>
            <w:tcW w:w="2551" w:type="dxa"/>
            <w:vAlign w:val="center"/>
          </w:tcPr>
          <w:p>
            <w:pPr>
              <w:pStyle w:val="11"/>
            </w:pPr>
            <w:r>
              <w:t>33.08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60.60</w:t>
            </w:r>
          </w:p>
        </w:tc>
        <w:tc>
          <w:tcPr>
            <w:tcW w:w="2551" w:type="dxa"/>
            <w:vAlign w:val="center"/>
          </w:tcPr>
          <w:p>
            <w:pPr>
              <w:pStyle w:val="11"/>
            </w:pPr>
          </w:p>
        </w:tc>
        <w:tc>
          <w:tcPr>
            <w:tcW w:w="2551" w:type="dxa"/>
            <w:vAlign w:val="center"/>
          </w:tcPr>
          <w:p>
            <w:pPr>
              <w:pStyle w:val="11"/>
            </w:pPr>
            <w:r>
              <w:t>60.60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9.20</w:t>
            </w:r>
          </w:p>
        </w:tc>
        <w:tc>
          <w:tcPr>
            <w:tcW w:w="2551" w:type="dxa"/>
            <w:vAlign w:val="center"/>
          </w:tcPr>
          <w:p>
            <w:pPr>
              <w:pStyle w:val="11"/>
            </w:pPr>
          </w:p>
        </w:tc>
        <w:tc>
          <w:tcPr>
            <w:tcW w:w="2551" w:type="dxa"/>
            <w:vAlign w:val="center"/>
          </w:tcPr>
          <w:p>
            <w:pPr>
              <w:pStyle w:val="11"/>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39.38</w:t>
            </w:r>
          </w:p>
        </w:tc>
        <w:tc>
          <w:tcPr>
            <w:tcW w:w="2551" w:type="dxa"/>
            <w:vAlign w:val="center"/>
          </w:tcPr>
          <w:p>
            <w:pPr>
              <w:pStyle w:val="11"/>
            </w:pPr>
          </w:p>
        </w:tc>
        <w:tc>
          <w:tcPr>
            <w:tcW w:w="2551" w:type="dxa"/>
            <w:vAlign w:val="center"/>
          </w:tcPr>
          <w:p>
            <w:pPr>
              <w:pStyle w:val="11"/>
            </w:pPr>
            <w:r>
              <w:t>39.38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2.52</w:t>
            </w:r>
          </w:p>
        </w:tc>
        <w:tc>
          <w:tcPr>
            <w:tcW w:w="2551" w:type="dxa"/>
            <w:vAlign w:val="center"/>
          </w:tcPr>
          <w:p>
            <w:pPr>
              <w:pStyle w:val="11"/>
            </w:pPr>
          </w:p>
        </w:tc>
        <w:tc>
          <w:tcPr>
            <w:tcW w:w="2551" w:type="dxa"/>
            <w:vAlign w:val="center"/>
          </w:tcPr>
          <w:p>
            <w:pPr>
              <w:pStyle w:val="11"/>
            </w:pPr>
            <w:r>
              <w:t>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24.63</w:t>
            </w:r>
          </w:p>
        </w:tc>
        <w:tc>
          <w:tcPr>
            <w:tcW w:w="2551" w:type="dxa"/>
            <w:vAlign w:val="center"/>
          </w:tcPr>
          <w:p>
            <w:pPr>
              <w:pStyle w:val="11"/>
            </w:pPr>
            <w:r>
              <w:t>24.63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24.63</w:t>
            </w:r>
          </w:p>
        </w:tc>
        <w:tc>
          <w:tcPr>
            <w:tcW w:w="2551" w:type="dxa"/>
            <w:vAlign w:val="center"/>
          </w:tcPr>
          <w:p>
            <w:pPr>
              <w:pStyle w:val="11"/>
            </w:pPr>
            <w:r>
              <w:t>24.63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石家庄市鹿泉区医疗保险管理中心2025年单位预算信息公开情况说明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按照《中华人民共和国预算法》、《地方预决算公开操作规程》和《关于进一步推进预算公开工作的实施意见》规定，现将石家庄市鹿泉区医疗保险管理中心2025年单位预算公开如下：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根据《石家庄市鹿泉区医疗保障局职能配置、内设机构和人员编制规定》,石家庄市鹿泉区医疗保险管理中心的主要职责是：</w:t>
      </w:r>
    </w:p>
    <w:p>
      <w:pPr>
        <w:pStyle w:val="17"/>
      </w:pPr>
      <w:r>
        <w:t>根据《中共石家庄市委办公厅、石家庄市人民政府办公厅关于印发〈石家庄市鹿泉区机构改革方案〉的通知》（石办【2018】86号），制定本规定。</w:t>
      </w:r>
    </w:p>
    <w:p>
      <w:pPr>
        <w:pStyle w:val="17"/>
      </w:pPr>
      <w:r>
        <w:t>石家庄市鹿泉区医疗保险管理中心贯彻落实党中央和省、市、区委关于医疗保障工作的方针政策和决策部署，坚持和加强党对医疗保障工作的集中统一领导。</w:t>
      </w:r>
    </w:p>
    <w:p>
      <w:pPr>
        <w:pStyle w:val="17"/>
      </w:pPr>
      <w:r>
        <w:t>贯彻落实国家、省、市关于城镇职工和城乡居民医疗保险、生育保险、长期护理保险、医疗救助等医疗保障法规、规章以及政策、制度、规划和标准。按照政策规定拟定本辖区具体医疗保障政策，并组织实施。</w:t>
      </w:r>
    </w:p>
    <w:p>
      <w:pPr>
        <w:pStyle w:val="17"/>
      </w:pPr>
      <w:r>
        <w:t>贯彻落实石家庄市城镇职工、城乡居民参保筹资和保障等相关待遇政策。贯彻落实长期护理保险制度及政策并组织实施。</w:t>
      </w:r>
    </w:p>
    <w:p>
      <w:pPr>
        <w:pStyle w:val="17"/>
      </w:pPr>
      <w:r>
        <w:t>贯彻落实城乡统一的药品、医用耗材、医疗服务项目、医疗服务设施等医保支付标准。</w:t>
      </w:r>
    </w:p>
    <w:p>
      <w:pPr>
        <w:pStyle w:val="17"/>
      </w:pPr>
      <w:r>
        <w:t>贯彻落实石家庄市定点医疗机构协议和支付管理办法。建立健全医疗保障信用评价体系和信息披露制度，监督管理定点医药机构的医疗服务行为、医药费用和医药价格，依法查处医疗保障领域违法违规行为。</w:t>
      </w:r>
    </w:p>
    <w:p>
      <w:pPr>
        <w:pStyle w:val="17"/>
      </w:pPr>
      <w:r>
        <w:t>负责医疗保障经办管理、公共服务体系和信息化建设。贯彻落实异地就医管理和费用结算政策、医疗保障关系转移接续制度。</w:t>
      </w:r>
    </w:p>
    <w:p>
      <w:pPr>
        <w:pStyle w:val="17"/>
      </w:pPr>
      <w:r>
        <w:t>完成区委、区政府、区医保局交办的其他任务。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石家庄市鹿泉区医疗保险管理中心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5873.81万元，其中：一般公共预算收入5873.81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医疗保险管理中心年度单位预算中支出预算的总体情况。2025年支出预算5873.81万元，其中基本支出457.81万元，包括人员经费397.21万元和日常公用经费60.60万元；项目支出5416.00万元，主要为城乡居民医疗补助、长期护理保险财政补助、离休及伤残军人医药费支出。</w:t>
      </w:r>
    </w:p>
    <w:p>
      <w:pPr>
        <w:pStyle w:val="18"/>
      </w:pPr>
      <w:r>
        <w:t>3、比上年增减情况</w:t>
      </w:r>
    </w:p>
    <w:p>
      <w:pPr>
        <w:pStyle w:val="18"/>
      </w:pPr>
      <w:r>
        <w:t>2025年预算收支安排5873.81万元，较2024年预算减少415.79万元，其中：基本支出减少11.79万元，主要为人员经费支出减少。项目支出减少404.00万元，主要为城乡居民医疗补助、离休及伤残军人医药费支出减少。</w:t>
      </w:r>
    </w:p>
    <w:p>
      <w:pPr>
        <w:spacing w:before="10" w:after="10" w:line="240" w:lineRule="auto"/>
        <w:ind w:firstLine="640"/>
        <w:jc w:val="left"/>
        <w:outlineLvl w:val="5"/>
      </w:pPr>
      <w:r>
        <w:rPr>
          <w:rFonts w:ascii="黑体" w:hAnsi="黑体" w:eastAsia="黑体" w:cs="黑体"/>
          <w:color w:val="000000"/>
          <w:sz w:val="32"/>
        </w:rPr>
        <w:t>三、</w:t>
      </w:r>
      <w:r>
        <w:rPr>
          <w:rFonts w:hint="eastAsia" w:ascii="黑体" w:hAnsi="黑体" w:eastAsia="黑体" w:cs="黑体"/>
          <w:color w:val="000000"/>
          <w:sz w:val="32"/>
          <w:lang w:eastAsia="zh-CN"/>
        </w:rPr>
        <w:t>事业</w:t>
      </w:r>
      <w:r>
        <w:rPr>
          <w:rFonts w:ascii="黑体" w:hAnsi="黑体" w:eastAsia="黑体" w:cs="黑体"/>
          <w:color w:val="000000"/>
          <w:sz w:val="32"/>
        </w:rPr>
        <w:t>运行经费安排情况</w:t>
      </w:r>
    </w:p>
    <w:p>
      <w:pPr>
        <w:pStyle w:val="19"/>
        <w:rPr>
          <w:rFonts w:ascii="Times New Roman" w:hAnsi="Times New Roman" w:eastAsia="方正仿宋_GBK" w:cs="Times New Roman"/>
          <w:sz w:val="28"/>
        </w:rPr>
      </w:pPr>
      <w:r>
        <w:rPr>
          <w:rFonts w:ascii="Times New Roman" w:hAnsi="Times New Roman" w:eastAsia="方正仿宋_GBK" w:cs="Times New Roman"/>
          <w:sz w:val="28"/>
        </w:rPr>
        <w:t>2025年，我单位</w:t>
      </w:r>
      <w:r>
        <w:rPr>
          <w:rFonts w:hint="eastAsia" w:cs="Times New Roman"/>
          <w:sz w:val="28"/>
          <w:lang w:eastAsia="zh-CN"/>
        </w:rPr>
        <w:t>事业</w:t>
      </w:r>
      <w:r>
        <w:rPr>
          <w:rFonts w:ascii="Times New Roman" w:hAnsi="Times New Roman" w:eastAsia="方正仿宋_GBK" w:cs="Times New Roman"/>
          <w:sz w:val="28"/>
        </w:rPr>
        <w:t>运行经费共计安排</w:t>
      </w:r>
      <w:r>
        <w:rPr>
          <w:rFonts w:hint="eastAsia" w:ascii="Times New Roman" w:hAnsi="Times New Roman" w:eastAsia="方正仿宋_GBK" w:cs="Times New Roman"/>
          <w:sz w:val="28"/>
        </w:rPr>
        <w:t>60.60万元，主要用于日常维修、办公用房水电费、办公用房取暖费、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t>2025年，我单位财政拨款“三公”经费预算安排2.70万元，其中因公出国（境）费0.00万元；公务用车购置及运维费2.70万元（其中：公务用车购置费为0.00万元，公务用车运维费2.70万元)；公务接待费0.00万元。</w:t>
      </w:r>
      <w:r>
        <w:rPr>
          <w:rFonts w:hint="eastAsia"/>
          <w:lang w:val="en-US" w:eastAsia="zh-CN"/>
        </w:rPr>
        <w:t>"三公"经费与上年持平，无增减变化。</w:t>
      </w:r>
    </w:p>
    <w:p>
      <w:pPr>
        <w:pStyle w:val="20"/>
      </w:pPr>
    </w:p>
    <w:p>
      <w:pPr>
        <w:spacing w:before="10" w:after="10" w:line="240" w:lineRule="auto"/>
        <w:ind w:firstLine="1171" w:firstLineChars="366"/>
        <w:jc w:val="left"/>
        <w:outlineLvl w:val="5"/>
        <w:sectPr>
          <w:pgSz w:w="16840" w:h="11900" w:orient="landscape"/>
          <w:pgMar w:top="1361" w:right="1020" w:bottom="1361" w:left="1020" w:header="720" w:footer="720" w:gutter="0"/>
        </w:sectPr>
      </w:pPr>
      <w:bookmarkStart w:id="2" w:name="_GoBack"/>
      <w:bookmarkEnd w:id="2"/>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1、涉军劳务派遣人员经费2025绩效目标表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13011025P00326010029D</w:t>
            </w:r>
          </w:p>
        </w:tc>
        <w:tc>
          <w:tcPr>
            <w:tcW w:w="2835" w:type="dxa"/>
            <w:vAlign w:val="center"/>
          </w:tcPr>
          <w:p>
            <w:pPr>
              <w:pStyle w:val="10"/>
            </w:pPr>
            <w:r>
              <w:t>项目名称</w:t>
            </w:r>
          </w:p>
        </w:tc>
        <w:tc>
          <w:tcPr>
            <w:tcW w:w="6095" w:type="dxa"/>
            <w:gridSpan w:val="3"/>
            <w:vAlign w:val="center"/>
          </w:tcPr>
          <w:p>
            <w:pPr>
              <w:pStyle w:val="12"/>
            </w:pPr>
            <w:r>
              <w:t>涉军劳务派遣人员经费2025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根据鹿文办【2017】31号文件规定，我单位共有2名涉军公益岗位人员，共需12万元用于其工资发放、社保缴纳、取暖补发放等支出。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1.根据鹿文办【2017】31号文件规定，我单位共有2名涉军公益岗位人员，共需12万元用于其工资发放、社保缴纳、取暖补发放等支出。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本单位劳务派遣人员人数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工资发放标准</w:t>
            </w:r>
          </w:p>
        </w:tc>
        <w:tc>
          <w:tcPr>
            <w:tcW w:w="5386" w:type="dxa"/>
            <w:vAlign w:val="center"/>
          </w:tcPr>
          <w:p>
            <w:pPr>
              <w:pStyle w:val="12"/>
            </w:pPr>
            <w:r>
              <w:t>本单位涉军劳务派遣人员工资</w:t>
            </w:r>
          </w:p>
        </w:tc>
        <w:tc>
          <w:tcPr>
            <w:tcW w:w="2268" w:type="dxa"/>
            <w:vAlign w:val="center"/>
          </w:tcPr>
          <w:p>
            <w:pPr>
              <w:pStyle w:val="12"/>
            </w:pPr>
            <w:r>
              <w:t>60000元</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工资发放准确率</w:t>
            </w:r>
          </w:p>
        </w:tc>
        <w:tc>
          <w:tcPr>
            <w:tcW w:w="5386" w:type="dxa"/>
            <w:vAlign w:val="center"/>
          </w:tcPr>
          <w:p>
            <w:pPr>
              <w:pStyle w:val="12"/>
            </w:pPr>
            <w:r>
              <w:t>工资发放金额准确</w:t>
            </w:r>
          </w:p>
        </w:tc>
        <w:tc>
          <w:tcPr>
            <w:tcW w:w="2268" w:type="dxa"/>
            <w:vAlign w:val="center"/>
          </w:tcPr>
          <w:p>
            <w:pPr>
              <w:pStyle w:val="12"/>
            </w:pPr>
            <w:r>
              <w:t>≥95%</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工资发放及时率</w:t>
            </w:r>
          </w:p>
        </w:tc>
        <w:tc>
          <w:tcPr>
            <w:tcW w:w="5386" w:type="dxa"/>
            <w:vAlign w:val="center"/>
          </w:tcPr>
          <w:p>
            <w:pPr>
              <w:pStyle w:val="12"/>
            </w:pPr>
            <w:r>
              <w:t>每月工资发放是否及时到位</w:t>
            </w:r>
          </w:p>
        </w:tc>
        <w:tc>
          <w:tcPr>
            <w:tcW w:w="2268" w:type="dxa"/>
            <w:vAlign w:val="center"/>
          </w:tcPr>
          <w:p>
            <w:pPr>
              <w:pStyle w:val="12"/>
            </w:pPr>
            <w:r>
              <w:t>每月按时发放</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增加就业岗位数</w:t>
            </w:r>
          </w:p>
        </w:tc>
        <w:tc>
          <w:tcPr>
            <w:tcW w:w="5386" w:type="dxa"/>
            <w:vAlign w:val="center"/>
          </w:tcPr>
          <w:p>
            <w:pPr>
              <w:pStyle w:val="12"/>
            </w:pPr>
            <w:r>
              <w:t>增加就业岗位数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托管安置人数</w:t>
            </w:r>
          </w:p>
        </w:tc>
        <w:tc>
          <w:tcPr>
            <w:tcW w:w="5386" w:type="dxa"/>
            <w:vAlign w:val="center"/>
          </w:tcPr>
          <w:p>
            <w:pPr>
              <w:pStyle w:val="12"/>
            </w:pPr>
            <w:r>
              <w:t>本单位安置退役士兵人数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≥96%</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2、医保中心长期护理保险财政补助2025绩效目标表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13011025P001600100017</w:t>
            </w:r>
          </w:p>
        </w:tc>
        <w:tc>
          <w:tcPr>
            <w:tcW w:w="2835" w:type="dxa"/>
            <w:vAlign w:val="center"/>
          </w:tcPr>
          <w:p>
            <w:pPr>
              <w:pStyle w:val="10"/>
            </w:pPr>
            <w:r>
              <w:t>项目名称</w:t>
            </w:r>
          </w:p>
        </w:tc>
        <w:tc>
          <w:tcPr>
            <w:tcW w:w="6095" w:type="dxa"/>
            <w:gridSpan w:val="3"/>
            <w:vAlign w:val="center"/>
          </w:tcPr>
          <w:p>
            <w:pPr>
              <w:pStyle w:val="12"/>
            </w:pPr>
            <w:r>
              <w:t>医保中心长期护理保险财政补助2025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长期护理险需本级财政补助每人每年10元。用于推动我区长护险工作顺利高效开展，保障参保群众失能人员切身利益。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1.按照石政办函【2018】211号文件规定，长期护理险需本级财政补助每人每年10元。参保人数预计40万人。推动我区长护险工作顺利高效开展，保障参保群众失能人员切身利益。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资助人口参加基本医疗保险人数</w:t>
            </w:r>
          </w:p>
        </w:tc>
        <w:tc>
          <w:tcPr>
            <w:tcW w:w="5386" w:type="dxa"/>
            <w:vAlign w:val="center"/>
          </w:tcPr>
          <w:p>
            <w:pPr>
              <w:pStyle w:val="12"/>
            </w:pPr>
            <w:r>
              <w:t>资助人口参加基本医疗保险人数</w:t>
            </w:r>
          </w:p>
        </w:tc>
        <w:tc>
          <w:tcPr>
            <w:tcW w:w="2268" w:type="dxa"/>
            <w:vAlign w:val="center"/>
          </w:tcPr>
          <w:p>
            <w:pPr>
              <w:pStyle w:val="12"/>
            </w:pPr>
            <w:r>
              <w:t>≥400000人</w:t>
            </w:r>
          </w:p>
        </w:tc>
        <w:tc>
          <w:tcPr>
            <w:tcW w:w="1276" w:type="dxa"/>
            <w:vAlign w:val="center"/>
          </w:tcPr>
          <w:p>
            <w:pPr>
              <w:pStyle w:val="12"/>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长期护理人次数</w:t>
            </w:r>
          </w:p>
        </w:tc>
        <w:tc>
          <w:tcPr>
            <w:tcW w:w="5386" w:type="dxa"/>
            <w:vAlign w:val="center"/>
          </w:tcPr>
          <w:p>
            <w:pPr>
              <w:pStyle w:val="12"/>
            </w:pPr>
            <w:r>
              <w:t>长期护理人次数</w:t>
            </w:r>
          </w:p>
        </w:tc>
        <w:tc>
          <w:tcPr>
            <w:tcW w:w="2268" w:type="dxa"/>
            <w:vAlign w:val="center"/>
          </w:tcPr>
          <w:p>
            <w:pPr>
              <w:pStyle w:val="12"/>
            </w:pPr>
            <w:r>
              <w:t>≥30000人</w:t>
            </w:r>
          </w:p>
        </w:tc>
        <w:tc>
          <w:tcPr>
            <w:tcW w:w="1276" w:type="dxa"/>
            <w:vAlign w:val="center"/>
          </w:tcPr>
          <w:p>
            <w:pPr>
              <w:pStyle w:val="12"/>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补助到位及时率</w:t>
            </w:r>
          </w:p>
        </w:tc>
        <w:tc>
          <w:tcPr>
            <w:tcW w:w="5386" w:type="dxa"/>
            <w:vAlign w:val="center"/>
          </w:tcPr>
          <w:p>
            <w:pPr>
              <w:pStyle w:val="12"/>
            </w:pPr>
            <w:r>
              <w:t>补助到位及时率</w:t>
            </w:r>
          </w:p>
        </w:tc>
        <w:tc>
          <w:tcPr>
            <w:tcW w:w="2268" w:type="dxa"/>
            <w:vAlign w:val="center"/>
          </w:tcPr>
          <w:p>
            <w:pPr>
              <w:pStyle w:val="12"/>
            </w:pPr>
            <w:r>
              <w:t>≥98%</w:t>
            </w:r>
          </w:p>
        </w:tc>
        <w:tc>
          <w:tcPr>
            <w:tcW w:w="1276" w:type="dxa"/>
            <w:vAlign w:val="center"/>
          </w:tcPr>
          <w:p>
            <w:pPr>
              <w:pStyle w:val="12"/>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资助标准</w:t>
            </w:r>
          </w:p>
        </w:tc>
        <w:tc>
          <w:tcPr>
            <w:tcW w:w="5386" w:type="dxa"/>
            <w:vAlign w:val="center"/>
          </w:tcPr>
          <w:p>
            <w:pPr>
              <w:pStyle w:val="12"/>
            </w:pPr>
            <w:r>
              <w:t>资助标准</w:t>
            </w:r>
          </w:p>
        </w:tc>
        <w:tc>
          <w:tcPr>
            <w:tcW w:w="2268" w:type="dxa"/>
            <w:vAlign w:val="center"/>
          </w:tcPr>
          <w:p>
            <w:pPr>
              <w:pStyle w:val="12"/>
            </w:pPr>
            <w:r>
              <w:t>≥10元每人</w:t>
            </w:r>
          </w:p>
        </w:tc>
        <w:tc>
          <w:tcPr>
            <w:tcW w:w="1276" w:type="dxa"/>
            <w:vAlign w:val="center"/>
          </w:tcPr>
          <w:p>
            <w:pPr>
              <w:pStyle w:val="12"/>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长护险政策知晓率</w:t>
            </w:r>
          </w:p>
        </w:tc>
        <w:tc>
          <w:tcPr>
            <w:tcW w:w="5386" w:type="dxa"/>
            <w:vAlign w:val="center"/>
          </w:tcPr>
          <w:p>
            <w:pPr>
              <w:pStyle w:val="12"/>
            </w:pPr>
            <w:r>
              <w:t>长护险政策知晓率</w:t>
            </w:r>
          </w:p>
        </w:tc>
        <w:tc>
          <w:tcPr>
            <w:tcW w:w="2268" w:type="dxa"/>
            <w:vAlign w:val="center"/>
          </w:tcPr>
          <w:p>
            <w:pPr>
              <w:pStyle w:val="12"/>
            </w:pPr>
            <w:r>
              <w:t>≥98%</w:t>
            </w:r>
          </w:p>
        </w:tc>
        <w:tc>
          <w:tcPr>
            <w:tcW w:w="1276" w:type="dxa"/>
            <w:vAlign w:val="center"/>
          </w:tcPr>
          <w:p>
            <w:pPr>
              <w:pStyle w:val="12"/>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≥98%</w:t>
            </w:r>
          </w:p>
        </w:tc>
        <w:tc>
          <w:tcPr>
            <w:tcW w:w="1276" w:type="dxa"/>
            <w:vAlign w:val="center"/>
          </w:tcPr>
          <w:p>
            <w:pPr>
              <w:pStyle w:val="12"/>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3、医保中心城乡居民医疗补助2025绩效目标表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13011025P00159610001J</w:t>
            </w:r>
          </w:p>
        </w:tc>
        <w:tc>
          <w:tcPr>
            <w:tcW w:w="2835" w:type="dxa"/>
            <w:vAlign w:val="center"/>
          </w:tcPr>
          <w:p>
            <w:pPr>
              <w:pStyle w:val="10"/>
            </w:pPr>
            <w:r>
              <w:t>项目名称</w:t>
            </w:r>
          </w:p>
        </w:tc>
        <w:tc>
          <w:tcPr>
            <w:tcW w:w="6095" w:type="dxa"/>
            <w:gridSpan w:val="3"/>
            <w:vAlign w:val="center"/>
          </w:tcPr>
          <w:p>
            <w:pPr>
              <w:pStyle w:val="12"/>
            </w:pPr>
            <w:r>
              <w:t>医保中心城乡居民医疗补助2025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4704.00</w:t>
            </w:r>
          </w:p>
        </w:tc>
        <w:tc>
          <w:tcPr>
            <w:tcW w:w="2835" w:type="dxa"/>
            <w:vAlign w:val="center"/>
          </w:tcPr>
          <w:p>
            <w:pPr>
              <w:pStyle w:val="10"/>
            </w:pPr>
            <w:r>
              <w:t>其中：财政    资金</w:t>
            </w:r>
          </w:p>
        </w:tc>
        <w:tc>
          <w:tcPr>
            <w:tcW w:w="2551" w:type="dxa"/>
            <w:vAlign w:val="center"/>
          </w:tcPr>
          <w:p>
            <w:pPr>
              <w:pStyle w:val="12"/>
            </w:pPr>
            <w:r>
              <w:t>4704.00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用于为我区预计336000人参加城乡居民医疗保险提供区本级医疗补助，约140元/人，共计4704万元。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1.根据石政办发【2016】2号文件规定，居民医保费由个人缴纳和各级财政补助构成，2025年城乡居民本级医疗补助为140元/人，参保人数预计为336000人，共计4704万元。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本级补贴城乡居民参保人数</w:t>
            </w:r>
          </w:p>
        </w:tc>
        <w:tc>
          <w:tcPr>
            <w:tcW w:w="5386" w:type="dxa"/>
            <w:vAlign w:val="center"/>
          </w:tcPr>
          <w:p>
            <w:pPr>
              <w:pStyle w:val="12"/>
            </w:pPr>
            <w:r>
              <w:t>本级补贴城乡居民参保人数</w:t>
            </w:r>
          </w:p>
        </w:tc>
        <w:tc>
          <w:tcPr>
            <w:tcW w:w="2268" w:type="dxa"/>
            <w:vAlign w:val="center"/>
          </w:tcPr>
          <w:p>
            <w:pPr>
              <w:pStyle w:val="12"/>
            </w:pPr>
            <w:r>
              <w:t>≥336000人</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居民医疗补助完成率</w:t>
            </w:r>
          </w:p>
        </w:tc>
        <w:tc>
          <w:tcPr>
            <w:tcW w:w="5386" w:type="dxa"/>
            <w:vAlign w:val="center"/>
          </w:tcPr>
          <w:p>
            <w:pPr>
              <w:pStyle w:val="12"/>
            </w:pPr>
            <w:r>
              <w:t>居民医疗补助完成率</w:t>
            </w:r>
          </w:p>
        </w:tc>
        <w:tc>
          <w:tcPr>
            <w:tcW w:w="2268" w:type="dxa"/>
            <w:vAlign w:val="center"/>
          </w:tcPr>
          <w:p>
            <w:pPr>
              <w:pStyle w:val="12"/>
            </w:pPr>
            <w:r>
              <w:t>≥98%</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每人补贴标准</w:t>
            </w:r>
          </w:p>
        </w:tc>
        <w:tc>
          <w:tcPr>
            <w:tcW w:w="5386" w:type="dxa"/>
            <w:vAlign w:val="center"/>
          </w:tcPr>
          <w:p>
            <w:pPr>
              <w:pStyle w:val="12"/>
            </w:pPr>
            <w:r>
              <w:t>每人补贴标准</w:t>
            </w:r>
          </w:p>
        </w:tc>
        <w:tc>
          <w:tcPr>
            <w:tcW w:w="2268" w:type="dxa"/>
            <w:vAlign w:val="center"/>
          </w:tcPr>
          <w:p>
            <w:pPr>
              <w:pStyle w:val="12"/>
            </w:pPr>
            <w:r>
              <w:t>140人</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补助到位及时率</w:t>
            </w:r>
          </w:p>
        </w:tc>
        <w:tc>
          <w:tcPr>
            <w:tcW w:w="5386" w:type="dxa"/>
            <w:vAlign w:val="center"/>
          </w:tcPr>
          <w:p>
            <w:pPr>
              <w:pStyle w:val="12"/>
            </w:pPr>
            <w:r>
              <w:t>补助到位时间是否及时</w:t>
            </w:r>
          </w:p>
        </w:tc>
        <w:tc>
          <w:tcPr>
            <w:tcW w:w="2268" w:type="dxa"/>
            <w:vAlign w:val="center"/>
          </w:tcPr>
          <w:p>
            <w:pPr>
              <w:pStyle w:val="12"/>
            </w:pPr>
            <w:r>
              <w:t>≥98%</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参加居民医保受益人数</w:t>
            </w:r>
          </w:p>
        </w:tc>
        <w:tc>
          <w:tcPr>
            <w:tcW w:w="5386" w:type="dxa"/>
            <w:vAlign w:val="center"/>
          </w:tcPr>
          <w:p>
            <w:pPr>
              <w:pStyle w:val="12"/>
            </w:pPr>
            <w:r>
              <w:t>参加居民医保受益人数</w:t>
            </w:r>
          </w:p>
        </w:tc>
        <w:tc>
          <w:tcPr>
            <w:tcW w:w="2268" w:type="dxa"/>
            <w:vAlign w:val="center"/>
          </w:tcPr>
          <w:p>
            <w:pPr>
              <w:pStyle w:val="12"/>
            </w:pPr>
            <w:r>
              <w:t>≥336000人</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城乡居民参保完成率</w:t>
            </w:r>
          </w:p>
        </w:tc>
        <w:tc>
          <w:tcPr>
            <w:tcW w:w="5386" w:type="dxa"/>
            <w:vAlign w:val="center"/>
          </w:tcPr>
          <w:p>
            <w:pPr>
              <w:pStyle w:val="12"/>
            </w:pPr>
            <w:r>
              <w:t>城乡居民参保完成率</w:t>
            </w:r>
          </w:p>
        </w:tc>
        <w:tc>
          <w:tcPr>
            <w:tcW w:w="2268" w:type="dxa"/>
            <w:vAlign w:val="center"/>
          </w:tcPr>
          <w:p>
            <w:pPr>
              <w:pStyle w:val="12"/>
            </w:pPr>
            <w:r>
              <w:t>≥98%</w:t>
            </w:r>
          </w:p>
        </w:tc>
        <w:tc>
          <w:tcPr>
            <w:tcW w:w="1276" w:type="dxa"/>
            <w:vAlign w:val="center"/>
          </w:tcPr>
          <w:p>
            <w:pPr>
              <w:pStyle w:val="12"/>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参保群众满意度</w:t>
            </w:r>
          </w:p>
        </w:tc>
        <w:tc>
          <w:tcPr>
            <w:tcW w:w="5386" w:type="dxa"/>
            <w:vAlign w:val="center"/>
          </w:tcPr>
          <w:p>
            <w:pPr>
              <w:pStyle w:val="12"/>
            </w:pPr>
            <w:r>
              <w:t>参保群众满意度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4、医保中心离休及伤残军人医药费2025绩效目标表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13011025P00159910001K</w:t>
            </w:r>
          </w:p>
        </w:tc>
        <w:tc>
          <w:tcPr>
            <w:tcW w:w="2835" w:type="dxa"/>
            <w:vAlign w:val="center"/>
          </w:tcPr>
          <w:p>
            <w:pPr>
              <w:pStyle w:val="10"/>
            </w:pPr>
            <w:r>
              <w:t>项目名称</w:t>
            </w:r>
          </w:p>
        </w:tc>
        <w:tc>
          <w:tcPr>
            <w:tcW w:w="6095" w:type="dxa"/>
            <w:gridSpan w:val="3"/>
            <w:vAlign w:val="center"/>
          </w:tcPr>
          <w:p>
            <w:pPr>
              <w:pStyle w:val="12"/>
            </w:pPr>
            <w:r>
              <w:t>医保中心离休及伤残军人医药费2025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2025年预计需要300万元，用于保障我区约28名离残人员医药费的及时报销，体现党和政府对离残人员政治上的关心和生活上的照顾。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1.依据石办字【2004】60号文件规定，离残人员医药费所需资金列入本级财政预算，2025年预计需要300万元，用于保障我区约28名离残人员医药费的及时报销，体现党和政府对离残人员政治上的关心和生活上的照顾。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服务离残人员数量</w:t>
            </w:r>
          </w:p>
        </w:tc>
        <w:tc>
          <w:tcPr>
            <w:tcW w:w="5386" w:type="dxa"/>
            <w:vAlign w:val="center"/>
          </w:tcPr>
          <w:p>
            <w:pPr>
              <w:pStyle w:val="12"/>
            </w:pPr>
            <w:r>
              <w:t>服务离残人员数量</w:t>
            </w:r>
          </w:p>
        </w:tc>
        <w:tc>
          <w:tcPr>
            <w:tcW w:w="2268" w:type="dxa"/>
            <w:vAlign w:val="center"/>
          </w:tcPr>
          <w:p>
            <w:pPr>
              <w:pStyle w:val="12"/>
            </w:pPr>
            <w:r>
              <w:t>≤28人</w:t>
            </w:r>
          </w:p>
        </w:tc>
        <w:tc>
          <w:tcPr>
            <w:tcW w:w="1276" w:type="dxa"/>
            <w:vAlign w:val="center"/>
          </w:tcPr>
          <w:p>
            <w:pPr>
              <w:pStyle w:val="12"/>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医药费报销率</w:t>
            </w:r>
          </w:p>
        </w:tc>
        <w:tc>
          <w:tcPr>
            <w:tcW w:w="5386" w:type="dxa"/>
            <w:vAlign w:val="center"/>
          </w:tcPr>
          <w:p>
            <w:pPr>
              <w:pStyle w:val="12"/>
            </w:pPr>
            <w:r>
              <w:t>医药费报销率</w:t>
            </w:r>
          </w:p>
        </w:tc>
        <w:tc>
          <w:tcPr>
            <w:tcW w:w="2268" w:type="dxa"/>
            <w:vAlign w:val="center"/>
          </w:tcPr>
          <w:p>
            <w:pPr>
              <w:pStyle w:val="12"/>
            </w:pPr>
            <w:r>
              <w:t>≥95%</w:t>
            </w:r>
          </w:p>
        </w:tc>
        <w:tc>
          <w:tcPr>
            <w:tcW w:w="1276" w:type="dxa"/>
            <w:vAlign w:val="center"/>
          </w:tcPr>
          <w:p>
            <w:pPr>
              <w:pStyle w:val="12"/>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≤125000元</w:t>
            </w:r>
          </w:p>
        </w:tc>
        <w:tc>
          <w:tcPr>
            <w:tcW w:w="1276" w:type="dxa"/>
            <w:vAlign w:val="center"/>
          </w:tcPr>
          <w:p>
            <w:pPr>
              <w:pStyle w:val="12"/>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发放补贴受益人数</w:t>
            </w:r>
          </w:p>
        </w:tc>
        <w:tc>
          <w:tcPr>
            <w:tcW w:w="5386" w:type="dxa"/>
            <w:vAlign w:val="center"/>
          </w:tcPr>
          <w:p>
            <w:pPr>
              <w:pStyle w:val="12"/>
            </w:pPr>
            <w:r>
              <w:t>发放补贴受益人数</w:t>
            </w:r>
          </w:p>
        </w:tc>
        <w:tc>
          <w:tcPr>
            <w:tcW w:w="2268" w:type="dxa"/>
            <w:vAlign w:val="center"/>
          </w:tcPr>
          <w:p>
            <w:pPr>
              <w:pStyle w:val="12"/>
            </w:pPr>
            <w:r>
              <w:t>≤28人</w:t>
            </w:r>
          </w:p>
        </w:tc>
        <w:tc>
          <w:tcPr>
            <w:tcW w:w="1276" w:type="dxa"/>
            <w:vAlign w:val="center"/>
          </w:tcPr>
          <w:p>
            <w:pPr>
              <w:pStyle w:val="12"/>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增强影响力</w:t>
            </w:r>
          </w:p>
        </w:tc>
        <w:tc>
          <w:tcPr>
            <w:tcW w:w="2268" w:type="dxa"/>
            <w:vAlign w:val="center"/>
          </w:tcPr>
          <w:p>
            <w:pPr>
              <w:pStyle w:val="12"/>
            </w:pPr>
            <w:r>
              <w:t>≥95%</w:t>
            </w:r>
          </w:p>
        </w:tc>
        <w:tc>
          <w:tcPr>
            <w:tcW w:w="1276" w:type="dxa"/>
            <w:vAlign w:val="center"/>
          </w:tcPr>
          <w:p>
            <w:pPr>
              <w:pStyle w:val="12"/>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参保群众满意度</w:t>
            </w:r>
          </w:p>
        </w:tc>
        <w:tc>
          <w:tcPr>
            <w:tcW w:w="5386" w:type="dxa"/>
            <w:vAlign w:val="center"/>
          </w:tcPr>
          <w:p>
            <w:pPr>
              <w:pStyle w:val="12"/>
            </w:pPr>
            <w:r>
              <w:t>报销人员满意度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石家庄市鹿泉区医疗保险管理中心上年末固定资产金额为11.08万元（详见下表）。本年度拟购置固定资产总额为0.00万元，已按要求列入政府采购预算，详见政府采购预算表。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365003石家庄市鹿泉区医疗保险管理中心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200</w:t>
            </w:r>
          </w:p>
        </w:tc>
        <w:tc>
          <w:tcPr>
            <w:tcW w:w="2835" w:type="dxa"/>
            <w:vAlign w:val="center"/>
          </w:tcPr>
          <w:p>
            <w:pPr>
              <w:pStyle w:val="11"/>
            </w:pPr>
            <w:r>
              <w:t>10.03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B31396"/>
    <w:rsid w:val="21F2360F"/>
    <w:rsid w:val="261E16F9"/>
    <w:rsid w:val="7C87223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56</Pages>
  <TotalTime>16</TotalTime>
  <ScaleCrop>false</ScaleCrop>
  <LinksUpToDate>false</LinksUpToDate>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2025-02-17T11:14:00Z</dcterms:created>
  <dc:creator>Administrator</dc:creator>
  <cp:lastModifiedBy>Administrator</cp:lastModifiedBy>
  <dcterms:modified xsi:type="dcterms:W3CDTF">2025-02-17T09:27:03Z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