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一、石家庄市鹿泉区统计局本级收支预算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一、石家庄市鹿泉区统计局本级收支预算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874.24</w:t>
            </w:r>
          </w:p>
        </w:tc>
        <w:tc>
          <w:tcPr>
            <w:tcW w:w="4535" w:type="dxa"/>
            <w:vAlign w:val="center"/>
          </w:tcPr>
          <w:p>
            <w:pPr>
              <w:pStyle w:val="12"/>
            </w:pPr>
            <w:r>
              <w:t>一、一般公共服务支出</w:t>
            </w:r>
          </w:p>
        </w:tc>
        <w:tc>
          <w:tcPr>
            <w:tcW w:w="2126" w:type="dxa"/>
            <w:vAlign w:val="center"/>
          </w:tcPr>
          <w:p>
            <w:pPr>
              <w:pStyle w:val="11"/>
            </w:pPr>
            <w:r>
              <w:t>648.80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150.26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31.24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43.94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874.24</w:t>
            </w:r>
          </w:p>
        </w:tc>
        <w:tc>
          <w:tcPr>
            <w:tcW w:w="4535" w:type="dxa"/>
            <w:vAlign w:val="center"/>
          </w:tcPr>
          <w:p>
            <w:pPr>
              <w:pStyle w:val="14"/>
            </w:pPr>
            <w:r>
              <w:t>本年支出合计</w:t>
            </w:r>
          </w:p>
        </w:tc>
        <w:tc>
          <w:tcPr>
            <w:tcW w:w="2126" w:type="dxa"/>
            <w:vAlign w:val="center"/>
          </w:tcPr>
          <w:p>
            <w:pPr>
              <w:pStyle w:val="15"/>
            </w:pPr>
            <w:r>
              <w:t>874.24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874.24</w:t>
            </w:r>
          </w:p>
        </w:tc>
        <w:tc>
          <w:tcPr>
            <w:tcW w:w="4535" w:type="dxa"/>
            <w:vAlign w:val="center"/>
          </w:tcPr>
          <w:p>
            <w:pPr>
              <w:pStyle w:val="14"/>
            </w:pPr>
            <w:r>
              <w:t>支出总计</w:t>
            </w:r>
          </w:p>
        </w:tc>
        <w:tc>
          <w:tcPr>
            <w:tcW w:w="2126" w:type="dxa"/>
            <w:vAlign w:val="center"/>
          </w:tcPr>
          <w:p>
            <w:pPr>
              <w:pStyle w:val="15"/>
            </w:pPr>
            <w:r>
              <w:t>874.24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874.24</w:t>
            </w:r>
          </w:p>
        </w:tc>
        <w:tc>
          <w:tcPr>
            <w:tcW w:w="1134" w:type="dxa"/>
            <w:vAlign w:val="center"/>
          </w:tcPr>
          <w:p>
            <w:pPr>
              <w:pStyle w:val="15"/>
            </w:pPr>
            <w:r>
              <w:t>874.24</w:t>
            </w:r>
          </w:p>
        </w:tc>
        <w:tc>
          <w:tcPr>
            <w:tcW w:w="1134" w:type="dxa"/>
            <w:vAlign w:val="center"/>
          </w:tcPr>
          <w:p>
            <w:pPr>
              <w:pStyle w:val="15"/>
            </w:pPr>
            <w:r>
              <w:t>874.24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648.80</w:t>
            </w:r>
          </w:p>
        </w:tc>
        <w:tc>
          <w:tcPr>
            <w:tcW w:w="1134" w:type="dxa"/>
            <w:vAlign w:val="center"/>
          </w:tcPr>
          <w:p>
            <w:pPr>
              <w:pStyle w:val="11"/>
            </w:pPr>
            <w:r>
              <w:t>648.80</w:t>
            </w:r>
          </w:p>
        </w:tc>
        <w:tc>
          <w:tcPr>
            <w:tcW w:w="1134" w:type="dxa"/>
            <w:vAlign w:val="center"/>
          </w:tcPr>
          <w:p>
            <w:pPr>
              <w:pStyle w:val="11"/>
            </w:pPr>
            <w:r>
              <w:t>648.80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20105</w:t>
            </w:r>
          </w:p>
        </w:tc>
        <w:tc>
          <w:tcPr>
            <w:tcW w:w="1559" w:type="dxa"/>
            <w:vAlign w:val="center"/>
          </w:tcPr>
          <w:p>
            <w:pPr>
              <w:pStyle w:val="12"/>
            </w:pPr>
            <w:r>
              <w:t>统计信息事务</w:t>
            </w:r>
          </w:p>
        </w:tc>
        <w:tc>
          <w:tcPr>
            <w:tcW w:w="1134" w:type="dxa"/>
            <w:vAlign w:val="center"/>
          </w:tcPr>
          <w:p>
            <w:pPr>
              <w:pStyle w:val="11"/>
            </w:pPr>
            <w:r>
              <w:t>648.80</w:t>
            </w:r>
          </w:p>
        </w:tc>
        <w:tc>
          <w:tcPr>
            <w:tcW w:w="1134" w:type="dxa"/>
            <w:vAlign w:val="center"/>
          </w:tcPr>
          <w:p>
            <w:pPr>
              <w:pStyle w:val="11"/>
            </w:pPr>
            <w:r>
              <w:t>648.80</w:t>
            </w:r>
          </w:p>
        </w:tc>
        <w:tc>
          <w:tcPr>
            <w:tcW w:w="1134" w:type="dxa"/>
            <w:vAlign w:val="center"/>
          </w:tcPr>
          <w:p>
            <w:pPr>
              <w:pStyle w:val="11"/>
            </w:pPr>
            <w:r>
              <w:t>648.80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2010501</w:t>
            </w:r>
          </w:p>
        </w:tc>
        <w:tc>
          <w:tcPr>
            <w:tcW w:w="1559" w:type="dxa"/>
            <w:vAlign w:val="center"/>
          </w:tcPr>
          <w:p>
            <w:pPr>
              <w:pStyle w:val="12"/>
            </w:pPr>
            <w:r>
              <w:t>行政运行</w:t>
            </w:r>
          </w:p>
        </w:tc>
        <w:tc>
          <w:tcPr>
            <w:tcW w:w="1134" w:type="dxa"/>
            <w:vAlign w:val="center"/>
          </w:tcPr>
          <w:p>
            <w:pPr>
              <w:pStyle w:val="11"/>
            </w:pPr>
            <w:r>
              <w:t>484.90</w:t>
            </w:r>
          </w:p>
        </w:tc>
        <w:tc>
          <w:tcPr>
            <w:tcW w:w="1134" w:type="dxa"/>
            <w:vAlign w:val="center"/>
          </w:tcPr>
          <w:p>
            <w:pPr>
              <w:pStyle w:val="11"/>
            </w:pPr>
            <w:r>
              <w:t>484.90</w:t>
            </w:r>
          </w:p>
        </w:tc>
        <w:tc>
          <w:tcPr>
            <w:tcW w:w="1134" w:type="dxa"/>
            <w:vAlign w:val="center"/>
          </w:tcPr>
          <w:p>
            <w:pPr>
              <w:pStyle w:val="11"/>
            </w:pPr>
            <w:r>
              <w:t>484.90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2010505</w:t>
            </w:r>
          </w:p>
        </w:tc>
        <w:tc>
          <w:tcPr>
            <w:tcW w:w="1559" w:type="dxa"/>
            <w:vAlign w:val="center"/>
          </w:tcPr>
          <w:p>
            <w:pPr>
              <w:pStyle w:val="12"/>
            </w:pPr>
            <w:r>
              <w:t>专项统计业务</w:t>
            </w:r>
          </w:p>
        </w:tc>
        <w:tc>
          <w:tcPr>
            <w:tcW w:w="1134" w:type="dxa"/>
            <w:vAlign w:val="center"/>
          </w:tcPr>
          <w:p>
            <w:pPr>
              <w:pStyle w:val="11"/>
            </w:pPr>
            <w:r>
              <w:t>141.90</w:t>
            </w:r>
          </w:p>
        </w:tc>
        <w:tc>
          <w:tcPr>
            <w:tcW w:w="1134" w:type="dxa"/>
            <w:vAlign w:val="center"/>
          </w:tcPr>
          <w:p>
            <w:pPr>
              <w:pStyle w:val="11"/>
            </w:pPr>
            <w:r>
              <w:t>141.90</w:t>
            </w:r>
          </w:p>
        </w:tc>
        <w:tc>
          <w:tcPr>
            <w:tcW w:w="1134" w:type="dxa"/>
            <w:vAlign w:val="center"/>
          </w:tcPr>
          <w:p>
            <w:pPr>
              <w:pStyle w:val="11"/>
            </w:pPr>
            <w:r>
              <w:t>141.90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2010507</w:t>
            </w:r>
          </w:p>
        </w:tc>
        <w:tc>
          <w:tcPr>
            <w:tcW w:w="1559" w:type="dxa"/>
            <w:vAlign w:val="center"/>
          </w:tcPr>
          <w:p>
            <w:pPr>
              <w:pStyle w:val="12"/>
            </w:pPr>
            <w:r>
              <w:t>专项普查活动</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2010508</w:t>
            </w:r>
          </w:p>
        </w:tc>
        <w:tc>
          <w:tcPr>
            <w:tcW w:w="1559" w:type="dxa"/>
            <w:vAlign w:val="center"/>
          </w:tcPr>
          <w:p>
            <w:pPr>
              <w:pStyle w:val="12"/>
            </w:pPr>
            <w:r>
              <w:t>统计抽样调查</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150.26</w:t>
            </w:r>
          </w:p>
        </w:tc>
        <w:tc>
          <w:tcPr>
            <w:tcW w:w="1134" w:type="dxa"/>
            <w:vAlign w:val="center"/>
          </w:tcPr>
          <w:p>
            <w:pPr>
              <w:pStyle w:val="11"/>
            </w:pPr>
            <w:r>
              <w:t>150.26</w:t>
            </w:r>
          </w:p>
        </w:tc>
        <w:tc>
          <w:tcPr>
            <w:tcW w:w="1134" w:type="dxa"/>
            <w:vAlign w:val="center"/>
          </w:tcPr>
          <w:p>
            <w:pPr>
              <w:pStyle w:val="11"/>
            </w:pPr>
            <w:r>
              <w:t>150.26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150.26</w:t>
            </w:r>
          </w:p>
        </w:tc>
        <w:tc>
          <w:tcPr>
            <w:tcW w:w="1134" w:type="dxa"/>
            <w:vAlign w:val="center"/>
          </w:tcPr>
          <w:p>
            <w:pPr>
              <w:pStyle w:val="11"/>
            </w:pPr>
            <w:r>
              <w:t>150.26</w:t>
            </w:r>
          </w:p>
        </w:tc>
        <w:tc>
          <w:tcPr>
            <w:tcW w:w="1134" w:type="dxa"/>
            <w:vAlign w:val="center"/>
          </w:tcPr>
          <w:p>
            <w:pPr>
              <w:pStyle w:val="11"/>
            </w:pPr>
            <w:r>
              <w:t>150.26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106.38</w:t>
            </w:r>
          </w:p>
        </w:tc>
        <w:tc>
          <w:tcPr>
            <w:tcW w:w="1134" w:type="dxa"/>
            <w:vAlign w:val="center"/>
          </w:tcPr>
          <w:p>
            <w:pPr>
              <w:pStyle w:val="11"/>
            </w:pPr>
            <w:r>
              <w:t>106.38</w:t>
            </w:r>
          </w:p>
        </w:tc>
        <w:tc>
          <w:tcPr>
            <w:tcW w:w="1134" w:type="dxa"/>
            <w:vAlign w:val="center"/>
          </w:tcPr>
          <w:p>
            <w:pPr>
              <w:pStyle w:val="11"/>
            </w:pPr>
            <w:r>
              <w:t>106.38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43.88</w:t>
            </w:r>
          </w:p>
        </w:tc>
        <w:tc>
          <w:tcPr>
            <w:tcW w:w="1134" w:type="dxa"/>
            <w:vAlign w:val="center"/>
          </w:tcPr>
          <w:p>
            <w:pPr>
              <w:pStyle w:val="11"/>
            </w:pPr>
            <w:r>
              <w:t>43.88</w:t>
            </w:r>
          </w:p>
        </w:tc>
        <w:tc>
          <w:tcPr>
            <w:tcW w:w="1134" w:type="dxa"/>
            <w:vAlign w:val="center"/>
          </w:tcPr>
          <w:p>
            <w:pPr>
              <w:pStyle w:val="11"/>
            </w:pPr>
            <w:r>
              <w:t>43.88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31.24</w:t>
            </w:r>
          </w:p>
        </w:tc>
        <w:tc>
          <w:tcPr>
            <w:tcW w:w="1134" w:type="dxa"/>
            <w:vAlign w:val="center"/>
          </w:tcPr>
          <w:p>
            <w:pPr>
              <w:pStyle w:val="11"/>
            </w:pPr>
            <w:r>
              <w:t>31.24</w:t>
            </w:r>
          </w:p>
        </w:tc>
        <w:tc>
          <w:tcPr>
            <w:tcW w:w="1134" w:type="dxa"/>
            <w:vAlign w:val="center"/>
          </w:tcPr>
          <w:p>
            <w:pPr>
              <w:pStyle w:val="11"/>
            </w:pPr>
            <w:r>
              <w:t>31.24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31.24</w:t>
            </w:r>
          </w:p>
        </w:tc>
        <w:tc>
          <w:tcPr>
            <w:tcW w:w="1134" w:type="dxa"/>
            <w:vAlign w:val="center"/>
          </w:tcPr>
          <w:p>
            <w:pPr>
              <w:pStyle w:val="11"/>
            </w:pPr>
            <w:r>
              <w:t>31.24</w:t>
            </w:r>
          </w:p>
        </w:tc>
        <w:tc>
          <w:tcPr>
            <w:tcW w:w="1134" w:type="dxa"/>
            <w:vAlign w:val="center"/>
          </w:tcPr>
          <w:p>
            <w:pPr>
              <w:pStyle w:val="11"/>
            </w:pPr>
            <w:r>
              <w:t>31.24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31.24</w:t>
            </w:r>
          </w:p>
        </w:tc>
        <w:tc>
          <w:tcPr>
            <w:tcW w:w="1134" w:type="dxa"/>
            <w:vAlign w:val="center"/>
          </w:tcPr>
          <w:p>
            <w:pPr>
              <w:pStyle w:val="11"/>
            </w:pPr>
            <w:r>
              <w:t>31.24</w:t>
            </w:r>
          </w:p>
        </w:tc>
        <w:tc>
          <w:tcPr>
            <w:tcW w:w="1134" w:type="dxa"/>
            <w:vAlign w:val="center"/>
          </w:tcPr>
          <w:p>
            <w:pPr>
              <w:pStyle w:val="11"/>
            </w:pPr>
            <w:r>
              <w:t>31.24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43.94</w:t>
            </w:r>
          </w:p>
        </w:tc>
        <w:tc>
          <w:tcPr>
            <w:tcW w:w="1134" w:type="dxa"/>
            <w:vAlign w:val="center"/>
          </w:tcPr>
          <w:p>
            <w:pPr>
              <w:pStyle w:val="11"/>
            </w:pPr>
            <w:r>
              <w:t>43.94</w:t>
            </w:r>
          </w:p>
        </w:tc>
        <w:tc>
          <w:tcPr>
            <w:tcW w:w="1134" w:type="dxa"/>
            <w:vAlign w:val="center"/>
          </w:tcPr>
          <w:p>
            <w:pPr>
              <w:pStyle w:val="11"/>
            </w:pPr>
            <w:r>
              <w:t>43.94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43.94</w:t>
            </w:r>
          </w:p>
        </w:tc>
        <w:tc>
          <w:tcPr>
            <w:tcW w:w="1134" w:type="dxa"/>
            <w:vAlign w:val="center"/>
          </w:tcPr>
          <w:p>
            <w:pPr>
              <w:pStyle w:val="11"/>
            </w:pPr>
            <w:r>
              <w:t>43.94</w:t>
            </w:r>
          </w:p>
        </w:tc>
        <w:tc>
          <w:tcPr>
            <w:tcW w:w="1134" w:type="dxa"/>
            <w:vAlign w:val="center"/>
          </w:tcPr>
          <w:p>
            <w:pPr>
              <w:pStyle w:val="11"/>
            </w:pPr>
            <w:r>
              <w:t>43.94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43.94</w:t>
            </w:r>
          </w:p>
        </w:tc>
        <w:tc>
          <w:tcPr>
            <w:tcW w:w="1134" w:type="dxa"/>
            <w:vAlign w:val="center"/>
          </w:tcPr>
          <w:p>
            <w:pPr>
              <w:pStyle w:val="11"/>
            </w:pPr>
            <w:r>
              <w:t>43.94</w:t>
            </w:r>
          </w:p>
        </w:tc>
        <w:tc>
          <w:tcPr>
            <w:tcW w:w="1134" w:type="dxa"/>
            <w:vAlign w:val="center"/>
          </w:tcPr>
          <w:p>
            <w:pPr>
              <w:pStyle w:val="11"/>
            </w:pPr>
            <w:r>
              <w:t>43.94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874.24</w:t>
            </w:r>
          </w:p>
        </w:tc>
        <w:tc>
          <w:tcPr>
            <w:tcW w:w="1361" w:type="dxa"/>
            <w:vAlign w:val="center"/>
          </w:tcPr>
          <w:p>
            <w:pPr>
              <w:pStyle w:val="15"/>
            </w:pPr>
            <w:r>
              <w:t>710.34</w:t>
            </w:r>
          </w:p>
        </w:tc>
        <w:tc>
          <w:tcPr>
            <w:tcW w:w="1361" w:type="dxa"/>
            <w:vAlign w:val="center"/>
          </w:tcPr>
          <w:p>
            <w:pPr>
              <w:pStyle w:val="15"/>
            </w:pPr>
            <w:r>
              <w:t>163.90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648.80</w:t>
            </w:r>
          </w:p>
        </w:tc>
        <w:tc>
          <w:tcPr>
            <w:tcW w:w="1361" w:type="dxa"/>
            <w:vAlign w:val="center"/>
          </w:tcPr>
          <w:p>
            <w:pPr>
              <w:pStyle w:val="11"/>
            </w:pPr>
            <w:r>
              <w:t>484.90</w:t>
            </w:r>
          </w:p>
        </w:tc>
        <w:tc>
          <w:tcPr>
            <w:tcW w:w="1361" w:type="dxa"/>
            <w:vAlign w:val="center"/>
          </w:tcPr>
          <w:p>
            <w:pPr>
              <w:pStyle w:val="11"/>
            </w:pPr>
            <w:r>
              <w:t>163.90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20105</w:t>
            </w:r>
          </w:p>
        </w:tc>
        <w:tc>
          <w:tcPr>
            <w:tcW w:w="4535" w:type="dxa"/>
            <w:vAlign w:val="center"/>
          </w:tcPr>
          <w:p>
            <w:pPr>
              <w:pStyle w:val="12"/>
            </w:pPr>
            <w:r>
              <w:t>统计信息事务</w:t>
            </w:r>
          </w:p>
        </w:tc>
        <w:tc>
          <w:tcPr>
            <w:tcW w:w="1361" w:type="dxa"/>
            <w:vAlign w:val="center"/>
          </w:tcPr>
          <w:p>
            <w:pPr>
              <w:pStyle w:val="11"/>
            </w:pPr>
            <w:r>
              <w:t>648.80</w:t>
            </w:r>
          </w:p>
        </w:tc>
        <w:tc>
          <w:tcPr>
            <w:tcW w:w="1361" w:type="dxa"/>
            <w:vAlign w:val="center"/>
          </w:tcPr>
          <w:p>
            <w:pPr>
              <w:pStyle w:val="11"/>
            </w:pPr>
            <w:r>
              <w:t>484.90</w:t>
            </w:r>
          </w:p>
        </w:tc>
        <w:tc>
          <w:tcPr>
            <w:tcW w:w="1361" w:type="dxa"/>
            <w:vAlign w:val="center"/>
          </w:tcPr>
          <w:p>
            <w:pPr>
              <w:pStyle w:val="11"/>
            </w:pPr>
            <w:r>
              <w:t>163.90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2010501</w:t>
            </w:r>
          </w:p>
        </w:tc>
        <w:tc>
          <w:tcPr>
            <w:tcW w:w="4535" w:type="dxa"/>
            <w:vAlign w:val="center"/>
          </w:tcPr>
          <w:p>
            <w:pPr>
              <w:pStyle w:val="12"/>
            </w:pPr>
            <w:r>
              <w:t>行政运行</w:t>
            </w:r>
          </w:p>
        </w:tc>
        <w:tc>
          <w:tcPr>
            <w:tcW w:w="1361" w:type="dxa"/>
            <w:vAlign w:val="center"/>
          </w:tcPr>
          <w:p>
            <w:pPr>
              <w:pStyle w:val="11"/>
            </w:pPr>
            <w:r>
              <w:t>484.90</w:t>
            </w:r>
          </w:p>
        </w:tc>
        <w:tc>
          <w:tcPr>
            <w:tcW w:w="1361" w:type="dxa"/>
            <w:vAlign w:val="center"/>
          </w:tcPr>
          <w:p>
            <w:pPr>
              <w:pStyle w:val="11"/>
            </w:pPr>
            <w:r>
              <w:t>484.90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2010505</w:t>
            </w:r>
          </w:p>
        </w:tc>
        <w:tc>
          <w:tcPr>
            <w:tcW w:w="4535" w:type="dxa"/>
            <w:vAlign w:val="center"/>
          </w:tcPr>
          <w:p>
            <w:pPr>
              <w:pStyle w:val="12"/>
            </w:pPr>
            <w:r>
              <w:t>专项统计业务</w:t>
            </w:r>
          </w:p>
        </w:tc>
        <w:tc>
          <w:tcPr>
            <w:tcW w:w="1361" w:type="dxa"/>
            <w:vAlign w:val="center"/>
          </w:tcPr>
          <w:p>
            <w:pPr>
              <w:pStyle w:val="11"/>
            </w:pPr>
            <w:r>
              <w:t>141.90</w:t>
            </w:r>
          </w:p>
        </w:tc>
        <w:tc>
          <w:tcPr>
            <w:tcW w:w="1361" w:type="dxa"/>
            <w:vAlign w:val="center"/>
          </w:tcPr>
          <w:p>
            <w:pPr>
              <w:pStyle w:val="11"/>
            </w:pPr>
          </w:p>
        </w:tc>
        <w:tc>
          <w:tcPr>
            <w:tcW w:w="1361" w:type="dxa"/>
            <w:vAlign w:val="center"/>
          </w:tcPr>
          <w:p>
            <w:pPr>
              <w:pStyle w:val="11"/>
            </w:pPr>
            <w:r>
              <w:t>141.90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2010507</w:t>
            </w:r>
          </w:p>
        </w:tc>
        <w:tc>
          <w:tcPr>
            <w:tcW w:w="4535" w:type="dxa"/>
            <w:vAlign w:val="center"/>
          </w:tcPr>
          <w:p>
            <w:pPr>
              <w:pStyle w:val="12"/>
            </w:pPr>
            <w:r>
              <w:t>专项普查活动</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2010508</w:t>
            </w:r>
          </w:p>
        </w:tc>
        <w:tc>
          <w:tcPr>
            <w:tcW w:w="4535" w:type="dxa"/>
            <w:vAlign w:val="center"/>
          </w:tcPr>
          <w:p>
            <w:pPr>
              <w:pStyle w:val="12"/>
            </w:pPr>
            <w:r>
              <w:t>统计抽样调查</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150.26</w:t>
            </w:r>
          </w:p>
        </w:tc>
        <w:tc>
          <w:tcPr>
            <w:tcW w:w="1361" w:type="dxa"/>
            <w:vAlign w:val="center"/>
          </w:tcPr>
          <w:p>
            <w:pPr>
              <w:pStyle w:val="11"/>
            </w:pPr>
            <w:r>
              <w:t>150.26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150.26</w:t>
            </w:r>
          </w:p>
        </w:tc>
        <w:tc>
          <w:tcPr>
            <w:tcW w:w="1361" w:type="dxa"/>
            <w:vAlign w:val="center"/>
          </w:tcPr>
          <w:p>
            <w:pPr>
              <w:pStyle w:val="11"/>
            </w:pPr>
            <w:r>
              <w:t>150.26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106.38</w:t>
            </w:r>
          </w:p>
        </w:tc>
        <w:tc>
          <w:tcPr>
            <w:tcW w:w="1361" w:type="dxa"/>
            <w:vAlign w:val="center"/>
          </w:tcPr>
          <w:p>
            <w:pPr>
              <w:pStyle w:val="11"/>
            </w:pPr>
            <w:r>
              <w:t>106.38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43.88</w:t>
            </w:r>
          </w:p>
        </w:tc>
        <w:tc>
          <w:tcPr>
            <w:tcW w:w="1361" w:type="dxa"/>
            <w:vAlign w:val="center"/>
          </w:tcPr>
          <w:p>
            <w:pPr>
              <w:pStyle w:val="11"/>
            </w:pPr>
            <w:r>
              <w:t>43.88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31.24</w:t>
            </w:r>
          </w:p>
        </w:tc>
        <w:tc>
          <w:tcPr>
            <w:tcW w:w="1361" w:type="dxa"/>
            <w:vAlign w:val="center"/>
          </w:tcPr>
          <w:p>
            <w:pPr>
              <w:pStyle w:val="11"/>
            </w:pPr>
            <w:r>
              <w:t>31.24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31.24</w:t>
            </w:r>
          </w:p>
        </w:tc>
        <w:tc>
          <w:tcPr>
            <w:tcW w:w="1361" w:type="dxa"/>
            <w:vAlign w:val="center"/>
          </w:tcPr>
          <w:p>
            <w:pPr>
              <w:pStyle w:val="11"/>
            </w:pPr>
            <w:r>
              <w:t>31.24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31.24</w:t>
            </w:r>
          </w:p>
        </w:tc>
        <w:tc>
          <w:tcPr>
            <w:tcW w:w="1361" w:type="dxa"/>
            <w:vAlign w:val="center"/>
          </w:tcPr>
          <w:p>
            <w:pPr>
              <w:pStyle w:val="11"/>
            </w:pPr>
            <w:r>
              <w:t>31.24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43.94</w:t>
            </w:r>
          </w:p>
        </w:tc>
        <w:tc>
          <w:tcPr>
            <w:tcW w:w="1361" w:type="dxa"/>
            <w:vAlign w:val="center"/>
          </w:tcPr>
          <w:p>
            <w:pPr>
              <w:pStyle w:val="11"/>
            </w:pPr>
            <w:r>
              <w:t>43.94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43.94</w:t>
            </w:r>
          </w:p>
        </w:tc>
        <w:tc>
          <w:tcPr>
            <w:tcW w:w="1361" w:type="dxa"/>
            <w:vAlign w:val="center"/>
          </w:tcPr>
          <w:p>
            <w:pPr>
              <w:pStyle w:val="11"/>
            </w:pPr>
            <w:r>
              <w:t>43.94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43.94</w:t>
            </w:r>
          </w:p>
        </w:tc>
        <w:tc>
          <w:tcPr>
            <w:tcW w:w="1361" w:type="dxa"/>
            <w:vAlign w:val="center"/>
          </w:tcPr>
          <w:p>
            <w:pPr>
              <w:pStyle w:val="11"/>
            </w:pPr>
            <w:r>
              <w:t>43.94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874.24</w:t>
            </w:r>
          </w:p>
        </w:tc>
        <w:tc>
          <w:tcPr>
            <w:tcW w:w="3402" w:type="dxa"/>
            <w:vAlign w:val="center"/>
          </w:tcPr>
          <w:p>
            <w:pPr>
              <w:pStyle w:val="12"/>
            </w:pPr>
            <w:r>
              <w:t>一、一般公共服务支出</w:t>
            </w:r>
          </w:p>
        </w:tc>
        <w:tc>
          <w:tcPr>
            <w:tcW w:w="1474" w:type="dxa"/>
            <w:vAlign w:val="center"/>
          </w:tcPr>
          <w:p>
            <w:pPr>
              <w:pStyle w:val="11"/>
            </w:pPr>
            <w:r>
              <w:t>648.80</w:t>
            </w:r>
          </w:p>
        </w:tc>
        <w:tc>
          <w:tcPr>
            <w:tcW w:w="1474" w:type="dxa"/>
            <w:vAlign w:val="center"/>
          </w:tcPr>
          <w:p>
            <w:pPr>
              <w:pStyle w:val="11"/>
            </w:pPr>
            <w:r>
              <w:t>648.80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150.26</w:t>
            </w:r>
          </w:p>
        </w:tc>
        <w:tc>
          <w:tcPr>
            <w:tcW w:w="1474" w:type="dxa"/>
            <w:vAlign w:val="center"/>
          </w:tcPr>
          <w:p>
            <w:pPr>
              <w:pStyle w:val="11"/>
            </w:pPr>
            <w:r>
              <w:t>150.26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31.24</w:t>
            </w:r>
          </w:p>
        </w:tc>
        <w:tc>
          <w:tcPr>
            <w:tcW w:w="1474" w:type="dxa"/>
            <w:vAlign w:val="center"/>
          </w:tcPr>
          <w:p>
            <w:pPr>
              <w:pStyle w:val="11"/>
            </w:pPr>
            <w:r>
              <w:t>31.24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43.94</w:t>
            </w:r>
          </w:p>
        </w:tc>
        <w:tc>
          <w:tcPr>
            <w:tcW w:w="1474" w:type="dxa"/>
            <w:vAlign w:val="center"/>
          </w:tcPr>
          <w:p>
            <w:pPr>
              <w:pStyle w:val="11"/>
            </w:pPr>
            <w:r>
              <w:t>43.94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874.24</w:t>
            </w:r>
          </w:p>
        </w:tc>
        <w:tc>
          <w:tcPr>
            <w:tcW w:w="3402" w:type="dxa"/>
            <w:vAlign w:val="center"/>
          </w:tcPr>
          <w:p>
            <w:pPr>
              <w:pStyle w:val="14"/>
            </w:pPr>
            <w:r>
              <w:t>本年支出合计</w:t>
            </w:r>
          </w:p>
        </w:tc>
        <w:tc>
          <w:tcPr>
            <w:tcW w:w="1474" w:type="dxa"/>
            <w:vAlign w:val="center"/>
          </w:tcPr>
          <w:p>
            <w:pPr>
              <w:pStyle w:val="15"/>
            </w:pPr>
            <w:r>
              <w:t>874.24</w:t>
            </w:r>
          </w:p>
        </w:tc>
        <w:tc>
          <w:tcPr>
            <w:tcW w:w="1474" w:type="dxa"/>
            <w:vAlign w:val="center"/>
          </w:tcPr>
          <w:p>
            <w:pPr>
              <w:pStyle w:val="15"/>
            </w:pPr>
            <w:r>
              <w:t>874.24</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874.24</w:t>
            </w:r>
          </w:p>
        </w:tc>
        <w:tc>
          <w:tcPr>
            <w:tcW w:w="3402" w:type="dxa"/>
            <w:vAlign w:val="center"/>
          </w:tcPr>
          <w:p>
            <w:pPr>
              <w:pStyle w:val="14"/>
            </w:pPr>
            <w:r>
              <w:t>支出总计</w:t>
            </w:r>
          </w:p>
        </w:tc>
        <w:tc>
          <w:tcPr>
            <w:tcW w:w="1474" w:type="dxa"/>
            <w:vAlign w:val="center"/>
          </w:tcPr>
          <w:p>
            <w:pPr>
              <w:pStyle w:val="15"/>
            </w:pPr>
            <w:r>
              <w:t>874.24</w:t>
            </w:r>
          </w:p>
        </w:tc>
        <w:tc>
          <w:tcPr>
            <w:tcW w:w="1474" w:type="dxa"/>
            <w:vAlign w:val="center"/>
          </w:tcPr>
          <w:p>
            <w:pPr>
              <w:pStyle w:val="15"/>
            </w:pPr>
            <w:r>
              <w:t>874.24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874.24</w:t>
            </w:r>
          </w:p>
        </w:tc>
        <w:tc>
          <w:tcPr>
            <w:tcW w:w="2551" w:type="dxa"/>
            <w:vAlign w:val="center"/>
          </w:tcPr>
          <w:p>
            <w:pPr>
              <w:pStyle w:val="15"/>
            </w:pPr>
            <w:r>
              <w:t>710.34</w:t>
            </w:r>
          </w:p>
        </w:tc>
        <w:tc>
          <w:tcPr>
            <w:tcW w:w="2551" w:type="dxa"/>
            <w:vAlign w:val="center"/>
          </w:tcPr>
          <w:p>
            <w:pPr>
              <w:pStyle w:val="15"/>
            </w:pPr>
            <w:r>
              <w:t>163.90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648.80</w:t>
            </w:r>
          </w:p>
        </w:tc>
        <w:tc>
          <w:tcPr>
            <w:tcW w:w="2551" w:type="dxa"/>
            <w:vAlign w:val="center"/>
          </w:tcPr>
          <w:p>
            <w:pPr>
              <w:pStyle w:val="11"/>
            </w:pPr>
            <w:r>
              <w:t>484.90</w:t>
            </w:r>
          </w:p>
        </w:tc>
        <w:tc>
          <w:tcPr>
            <w:tcW w:w="2551" w:type="dxa"/>
            <w:vAlign w:val="center"/>
          </w:tcPr>
          <w:p>
            <w:pPr>
              <w:pStyle w:val="11"/>
            </w:pPr>
            <w:r>
              <w:t>163.90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20105</w:t>
            </w:r>
          </w:p>
        </w:tc>
        <w:tc>
          <w:tcPr>
            <w:tcW w:w="4535" w:type="dxa"/>
            <w:vAlign w:val="center"/>
          </w:tcPr>
          <w:p>
            <w:pPr>
              <w:pStyle w:val="12"/>
            </w:pPr>
            <w:r>
              <w:t>统计信息事务</w:t>
            </w:r>
          </w:p>
        </w:tc>
        <w:tc>
          <w:tcPr>
            <w:tcW w:w="2551" w:type="dxa"/>
            <w:vAlign w:val="center"/>
          </w:tcPr>
          <w:p>
            <w:pPr>
              <w:pStyle w:val="11"/>
            </w:pPr>
            <w:r>
              <w:t>648.80</w:t>
            </w:r>
          </w:p>
        </w:tc>
        <w:tc>
          <w:tcPr>
            <w:tcW w:w="2551" w:type="dxa"/>
            <w:vAlign w:val="center"/>
          </w:tcPr>
          <w:p>
            <w:pPr>
              <w:pStyle w:val="11"/>
            </w:pPr>
            <w:r>
              <w:t>484.90</w:t>
            </w:r>
          </w:p>
        </w:tc>
        <w:tc>
          <w:tcPr>
            <w:tcW w:w="2551" w:type="dxa"/>
            <w:vAlign w:val="center"/>
          </w:tcPr>
          <w:p>
            <w:pPr>
              <w:pStyle w:val="11"/>
            </w:pPr>
            <w:r>
              <w:t>163.90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2010501</w:t>
            </w:r>
          </w:p>
        </w:tc>
        <w:tc>
          <w:tcPr>
            <w:tcW w:w="4535" w:type="dxa"/>
            <w:vAlign w:val="center"/>
          </w:tcPr>
          <w:p>
            <w:pPr>
              <w:pStyle w:val="12"/>
            </w:pPr>
            <w:r>
              <w:t>行政运行</w:t>
            </w:r>
          </w:p>
        </w:tc>
        <w:tc>
          <w:tcPr>
            <w:tcW w:w="2551" w:type="dxa"/>
            <w:vAlign w:val="center"/>
          </w:tcPr>
          <w:p>
            <w:pPr>
              <w:pStyle w:val="11"/>
            </w:pPr>
            <w:r>
              <w:t>484.90</w:t>
            </w:r>
          </w:p>
        </w:tc>
        <w:tc>
          <w:tcPr>
            <w:tcW w:w="2551" w:type="dxa"/>
            <w:vAlign w:val="center"/>
          </w:tcPr>
          <w:p>
            <w:pPr>
              <w:pStyle w:val="11"/>
            </w:pPr>
            <w:r>
              <w:t>484.90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2010505</w:t>
            </w:r>
          </w:p>
        </w:tc>
        <w:tc>
          <w:tcPr>
            <w:tcW w:w="4535" w:type="dxa"/>
            <w:vAlign w:val="center"/>
          </w:tcPr>
          <w:p>
            <w:pPr>
              <w:pStyle w:val="12"/>
            </w:pPr>
            <w:r>
              <w:t>专项统计业务</w:t>
            </w:r>
          </w:p>
        </w:tc>
        <w:tc>
          <w:tcPr>
            <w:tcW w:w="2551" w:type="dxa"/>
            <w:vAlign w:val="center"/>
          </w:tcPr>
          <w:p>
            <w:pPr>
              <w:pStyle w:val="11"/>
            </w:pPr>
            <w:r>
              <w:t>141.90</w:t>
            </w:r>
          </w:p>
        </w:tc>
        <w:tc>
          <w:tcPr>
            <w:tcW w:w="2551" w:type="dxa"/>
            <w:vAlign w:val="center"/>
          </w:tcPr>
          <w:p>
            <w:pPr>
              <w:pStyle w:val="11"/>
            </w:pPr>
          </w:p>
        </w:tc>
        <w:tc>
          <w:tcPr>
            <w:tcW w:w="2551" w:type="dxa"/>
            <w:vAlign w:val="center"/>
          </w:tcPr>
          <w:p>
            <w:pPr>
              <w:pStyle w:val="11"/>
            </w:pPr>
            <w:r>
              <w:t>141.90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2010507</w:t>
            </w:r>
          </w:p>
        </w:tc>
        <w:tc>
          <w:tcPr>
            <w:tcW w:w="4535" w:type="dxa"/>
            <w:vAlign w:val="center"/>
          </w:tcPr>
          <w:p>
            <w:pPr>
              <w:pStyle w:val="12"/>
            </w:pPr>
            <w:r>
              <w:t>专项普查活动</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2010508</w:t>
            </w:r>
          </w:p>
        </w:tc>
        <w:tc>
          <w:tcPr>
            <w:tcW w:w="4535" w:type="dxa"/>
            <w:vAlign w:val="center"/>
          </w:tcPr>
          <w:p>
            <w:pPr>
              <w:pStyle w:val="12"/>
            </w:pPr>
            <w:r>
              <w:t>统计抽样调查</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150.26</w:t>
            </w:r>
          </w:p>
        </w:tc>
        <w:tc>
          <w:tcPr>
            <w:tcW w:w="2551" w:type="dxa"/>
            <w:vAlign w:val="center"/>
          </w:tcPr>
          <w:p>
            <w:pPr>
              <w:pStyle w:val="11"/>
            </w:pPr>
            <w:r>
              <w:t>150.26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150.26</w:t>
            </w:r>
          </w:p>
        </w:tc>
        <w:tc>
          <w:tcPr>
            <w:tcW w:w="2551" w:type="dxa"/>
            <w:vAlign w:val="center"/>
          </w:tcPr>
          <w:p>
            <w:pPr>
              <w:pStyle w:val="11"/>
            </w:pPr>
            <w:r>
              <w:t>150.26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106.38</w:t>
            </w:r>
          </w:p>
        </w:tc>
        <w:tc>
          <w:tcPr>
            <w:tcW w:w="2551" w:type="dxa"/>
            <w:vAlign w:val="center"/>
          </w:tcPr>
          <w:p>
            <w:pPr>
              <w:pStyle w:val="11"/>
            </w:pPr>
            <w:r>
              <w:t>106.38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43.88</w:t>
            </w:r>
          </w:p>
        </w:tc>
        <w:tc>
          <w:tcPr>
            <w:tcW w:w="2551" w:type="dxa"/>
            <w:vAlign w:val="center"/>
          </w:tcPr>
          <w:p>
            <w:pPr>
              <w:pStyle w:val="11"/>
            </w:pPr>
            <w:r>
              <w:t>43.88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31.24</w:t>
            </w:r>
          </w:p>
        </w:tc>
        <w:tc>
          <w:tcPr>
            <w:tcW w:w="2551" w:type="dxa"/>
            <w:vAlign w:val="center"/>
          </w:tcPr>
          <w:p>
            <w:pPr>
              <w:pStyle w:val="11"/>
            </w:pPr>
            <w:r>
              <w:t>31.24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31.24</w:t>
            </w:r>
          </w:p>
        </w:tc>
        <w:tc>
          <w:tcPr>
            <w:tcW w:w="2551" w:type="dxa"/>
            <w:vAlign w:val="center"/>
          </w:tcPr>
          <w:p>
            <w:pPr>
              <w:pStyle w:val="11"/>
            </w:pPr>
            <w:r>
              <w:t>31.24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31.24</w:t>
            </w:r>
          </w:p>
        </w:tc>
        <w:tc>
          <w:tcPr>
            <w:tcW w:w="2551" w:type="dxa"/>
            <w:vAlign w:val="center"/>
          </w:tcPr>
          <w:p>
            <w:pPr>
              <w:pStyle w:val="11"/>
            </w:pPr>
            <w:r>
              <w:t>31.24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43.94</w:t>
            </w:r>
          </w:p>
        </w:tc>
        <w:tc>
          <w:tcPr>
            <w:tcW w:w="2551" w:type="dxa"/>
            <w:vAlign w:val="center"/>
          </w:tcPr>
          <w:p>
            <w:pPr>
              <w:pStyle w:val="11"/>
            </w:pPr>
            <w:r>
              <w:t>43.94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43.94</w:t>
            </w:r>
          </w:p>
        </w:tc>
        <w:tc>
          <w:tcPr>
            <w:tcW w:w="2551" w:type="dxa"/>
            <w:vAlign w:val="center"/>
          </w:tcPr>
          <w:p>
            <w:pPr>
              <w:pStyle w:val="11"/>
            </w:pPr>
            <w:r>
              <w:t>43.94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43.94</w:t>
            </w:r>
          </w:p>
        </w:tc>
        <w:tc>
          <w:tcPr>
            <w:tcW w:w="2551" w:type="dxa"/>
            <w:vAlign w:val="center"/>
          </w:tcPr>
          <w:p>
            <w:pPr>
              <w:pStyle w:val="11"/>
            </w:pPr>
            <w:r>
              <w:t>43.94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710.34</w:t>
            </w:r>
          </w:p>
        </w:tc>
        <w:tc>
          <w:tcPr>
            <w:tcW w:w="2551" w:type="dxa"/>
            <w:vAlign w:val="center"/>
          </w:tcPr>
          <w:p>
            <w:pPr>
              <w:pStyle w:val="15"/>
            </w:pPr>
            <w:r>
              <w:t>562.07</w:t>
            </w:r>
          </w:p>
        </w:tc>
        <w:tc>
          <w:tcPr>
            <w:tcW w:w="2551" w:type="dxa"/>
            <w:vAlign w:val="center"/>
          </w:tcPr>
          <w:p>
            <w:pPr>
              <w:pStyle w:val="15"/>
            </w:pPr>
            <w:r>
              <w:t>148.28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458.33</w:t>
            </w:r>
          </w:p>
        </w:tc>
        <w:tc>
          <w:tcPr>
            <w:tcW w:w="2551" w:type="dxa"/>
            <w:vAlign w:val="center"/>
          </w:tcPr>
          <w:p>
            <w:pPr>
              <w:pStyle w:val="11"/>
            </w:pPr>
            <w:r>
              <w:t>458.33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120.21</w:t>
            </w:r>
          </w:p>
        </w:tc>
        <w:tc>
          <w:tcPr>
            <w:tcW w:w="2551" w:type="dxa"/>
            <w:vAlign w:val="center"/>
          </w:tcPr>
          <w:p>
            <w:pPr>
              <w:pStyle w:val="11"/>
            </w:pPr>
            <w:r>
              <w:t>120.21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94.62</w:t>
            </w:r>
          </w:p>
        </w:tc>
        <w:tc>
          <w:tcPr>
            <w:tcW w:w="2551" w:type="dxa"/>
            <w:vAlign w:val="center"/>
          </w:tcPr>
          <w:p>
            <w:pPr>
              <w:pStyle w:val="11"/>
            </w:pPr>
            <w:r>
              <w:t>94.62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108.13</w:t>
            </w:r>
          </w:p>
        </w:tc>
        <w:tc>
          <w:tcPr>
            <w:tcW w:w="2551" w:type="dxa"/>
            <w:vAlign w:val="center"/>
          </w:tcPr>
          <w:p>
            <w:pPr>
              <w:pStyle w:val="11"/>
            </w:pPr>
            <w:r>
              <w:t>108.13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15.15</w:t>
            </w:r>
          </w:p>
        </w:tc>
        <w:tc>
          <w:tcPr>
            <w:tcW w:w="2551" w:type="dxa"/>
            <w:vAlign w:val="center"/>
          </w:tcPr>
          <w:p>
            <w:pPr>
              <w:pStyle w:val="11"/>
            </w:pPr>
            <w:r>
              <w:t>15.15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43.88</w:t>
            </w:r>
          </w:p>
        </w:tc>
        <w:tc>
          <w:tcPr>
            <w:tcW w:w="2551" w:type="dxa"/>
            <w:vAlign w:val="center"/>
          </w:tcPr>
          <w:p>
            <w:pPr>
              <w:pStyle w:val="11"/>
            </w:pPr>
            <w:r>
              <w:t>43.88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17.61</w:t>
            </w:r>
          </w:p>
        </w:tc>
        <w:tc>
          <w:tcPr>
            <w:tcW w:w="2551" w:type="dxa"/>
            <w:vAlign w:val="center"/>
          </w:tcPr>
          <w:p>
            <w:pPr>
              <w:pStyle w:val="11"/>
            </w:pPr>
            <w:r>
              <w:t>17.61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13.63</w:t>
            </w:r>
          </w:p>
        </w:tc>
        <w:tc>
          <w:tcPr>
            <w:tcW w:w="2551" w:type="dxa"/>
            <w:vAlign w:val="center"/>
          </w:tcPr>
          <w:p>
            <w:pPr>
              <w:pStyle w:val="11"/>
            </w:pPr>
            <w:r>
              <w:t>13.63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1.14</w:t>
            </w:r>
          </w:p>
        </w:tc>
        <w:tc>
          <w:tcPr>
            <w:tcW w:w="2551" w:type="dxa"/>
            <w:vAlign w:val="center"/>
          </w:tcPr>
          <w:p>
            <w:pPr>
              <w:pStyle w:val="11"/>
            </w:pPr>
            <w:r>
              <w:t>1.14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43.94</w:t>
            </w:r>
          </w:p>
        </w:tc>
        <w:tc>
          <w:tcPr>
            <w:tcW w:w="2551" w:type="dxa"/>
            <w:vAlign w:val="center"/>
          </w:tcPr>
          <w:p>
            <w:pPr>
              <w:pStyle w:val="11"/>
            </w:pPr>
            <w:r>
              <w:t>43.94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148.28</w:t>
            </w:r>
          </w:p>
        </w:tc>
        <w:tc>
          <w:tcPr>
            <w:tcW w:w="2551" w:type="dxa"/>
            <w:vAlign w:val="center"/>
          </w:tcPr>
          <w:p>
            <w:pPr>
              <w:pStyle w:val="11"/>
            </w:pPr>
          </w:p>
        </w:tc>
        <w:tc>
          <w:tcPr>
            <w:tcW w:w="2551" w:type="dxa"/>
            <w:vAlign w:val="center"/>
          </w:tcPr>
          <w:p>
            <w:pPr>
              <w:pStyle w:val="11"/>
            </w:pPr>
            <w:r>
              <w:t>148.28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16.20</w:t>
            </w:r>
          </w:p>
        </w:tc>
        <w:tc>
          <w:tcPr>
            <w:tcW w:w="2551" w:type="dxa"/>
            <w:vAlign w:val="center"/>
          </w:tcPr>
          <w:p>
            <w:pPr>
              <w:pStyle w:val="11"/>
            </w:pPr>
          </w:p>
        </w:tc>
        <w:tc>
          <w:tcPr>
            <w:tcW w:w="2551" w:type="dxa"/>
            <w:vAlign w:val="center"/>
          </w:tcPr>
          <w:p>
            <w:pPr>
              <w:pStyle w:val="11"/>
            </w:pPr>
            <w:r>
              <w:t>16.20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13.56</w:t>
            </w:r>
          </w:p>
        </w:tc>
        <w:tc>
          <w:tcPr>
            <w:tcW w:w="2551" w:type="dxa"/>
            <w:vAlign w:val="center"/>
          </w:tcPr>
          <w:p>
            <w:pPr>
              <w:pStyle w:val="11"/>
            </w:pPr>
          </w:p>
        </w:tc>
        <w:tc>
          <w:tcPr>
            <w:tcW w:w="2551" w:type="dxa"/>
            <w:vAlign w:val="center"/>
          </w:tcPr>
          <w:p>
            <w:pPr>
              <w:pStyle w:val="11"/>
            </w:pPr>
            <w:r>
              <w:t>13.56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92.12</w:t>
            </w:r>
          </w:p>
        </w:tc>
        <w:tc>
          <w:tcPr>
            <w:tcW w:w="2551" w:type="dxa"/>
            <w:vAlign w:val="center"/>
          </w:tcPr>
          <w:p>
            <w:pPr>
              <w:pStyle w:val="11"/>
            </w:pPr>
          </w:p>
        </w:tc>
        <w:tc>
          <w:tcPr>
            <w:tcW w:w="2551" w:type="dxa"/>
            <w:vAlign w:val="center"/>
          </w:tcPr>
          <w:p>
            <w:pPr>
              <w:pStyle w:val="11"/>
            </w:pPr>
            <w:r>
              <w:t>92.12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2.48</w:t>
            </w:r>
          </w:p>
        </w:tc>
        <w:tc>
          <w:tcPr>
            <w:tcW w:w="2551" w:type="dxa"/>
            <w:vAlign w:val="center"/>
          </w:tcPr>
          <w:p>
            <w:pPr>
              <w:pStyle w:val="11"/>
            </w:pPr>
          </w:p>
        </w:tc>
        <w:tc>
          <w:tcPr>
            <w:tcW w:w="2551" w:type="dxa"/>
            <w:vAlign w:val="center"/>
          </w:tcPr>
          <w:p>
            <w:pPr>
              <w:pStyle w:val="11"/>
            </w:pPr>
            <w:r>
              <w:t>2.48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3.01</w:t>
            </w:r>
          </w:p>
        </w:tc>
        <w:tc>
          <w:tcPr>
            <w:tcW w:w="2551" w:type="dxa"/>
            <w:vAlign w:val="center"/>
          </w:tcPr>
          <w:p>
            <w:pPr>
              <w:pStyle w:val="11"/>
            </w:pPr>
          </w:p>
        </w:tc>
        <w:tc>
          <w:tcPr>
            <w:tcW w:w="2551" w:type="dxa"/>
            <w:vAlign w:val="center"/>
          </w:tcPr>
          <w:p>
            <w:pPr>
              <w:pStyle w:val="11"/>
            </w:pPr>
            <w:r>
              <w:t>3.01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15.06</w:t>
            </w:r>
          </w:p>
        </w:tc>
        <w:tc>
          <w:tcPr>
            <w:tcW w:w="2551" w:type="dxa"/>
            <w:vAlign w:val="center"/>
          </w:tcPr>
          <w:p>
            <w:pPr>
              <w:pStyle w:val="11"/>
            </w:pPr>
          </w:p>
        </w:tc>
        <w:tc>
          <w:tcPr>
            <w:tcW w:w="2551" w:type="dxa"/>
            <w:vAlign w:val="center"/>
          </w:tcPr>
          <w:p>
            <w:pPr>
              <w:pStyle w:val="11"/>
            </w:pPr>
            <w:r>
              <w:t>15.06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3.15</w:t>
            </w:r>
          </w:p>
        </w:tc>
        <w:tc>
          <w:tcPr>
            <w:tcW w:w="2551" w:type="dxa"/>
            <w:vAlign w:val="center"/>
          </w:tcPr>
          <w:p>
            <w:pPr>
              <w:pStyle w:val="11"/>
            </w:pPr>
          </w:p>
        </w:tc>
        <w:tc>
          <w:tcPr>
            <w:tcW w:w="2551" w:type="dxa"/>
            <w:vAlign w:val="center"/>
          </w:tcPr>
          <w:p>
            <w:pPr>
              <w:pStyle w:val="11"/>
            </w:pPr>
            <w:r>
              <w:t>3.15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103.74</w:t>
            </w:r>
          </w:p>
        </w:tc>
        <w:tc>
          <w:tcPr>
            <w:tcW w:w="2551" w:type="dxa"/>
            <w:vAlign w:val="center"/>
          </w:tcPr>
          <w:p>
            <w:pPr>
              <w:pStyle w:val="11"/>
            </w:pPr>
            <w:r>
              <w:t>103.74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103.74</w:t>
            </w:r>
          </w:p>
        </w:tc>
        <w:tc>
          <w:tcPr>
            <w:tcW w:w="2551" w:type="dxa"/>
            <w:vAlign w:val="center"/>
          </w:tcPr>
          <w:p>
            <w:pPr>
              <w:pStyle w:val="11"/>
            </w:pPr>
            <w:r>
              <w:t>103.74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石家庄市鹿泉区统计局本级2025年单位预算信息公开情况说明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按照《中华人民共和国预算法》、《地方预决算公开操作规程》和《关于进一步推进预算公开工作的实施意见》规定，现将石家庄市鹿泉区统计局本级2025年单位预算公开如下：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（一）组织领导和协调全区统计工作，确保统计数据真实、准确、完整、及时。</w:t>
      </w:r>
    </w:p>
    <w:p>
      <w:pPr>
        <w:pStyle w:val="17"/>
      </w:pPr>
      <w:r>
        <w:t>（二）贯彻落实统计工作方面的法律法规、规章，拟订全区统计改革方案，制定统计建设规划、统计调查计划、统计调查制度，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pStyle w:val="17"/>
      </w:pPr>
      <w:r>
        <w:t>（三）贯彻执行河北省国民经济核算制度，组织实施全区国民经济核算和民营经济统计工作；统一核算全区地区生产总值及派生产业增加值；组织实施投入产出调查；编制全区资产负债表；整理、测算和提供国民经济核算资料。</w:t>
      </w:r>
    </w:p>
    <w:p>
      <w:pPr>
        <w:pStyle w:val="17"/>
      </w:pPr>
      <w:r>
        <w:t>（四）拟订重大区情区力普查调查计划、方案，组织实施全区人口、经济、农业等重大普查调查；汇总、整理和提供有关区情区力方面的统计数据。</w:t>
      </w:r>
    </w:p>
    <w:p>
      <w:pPr>
        <w:pStyle w:val="17"/>
      </w:pPr>
      <w:r>
        <w:t xml:space="preserve">（五）组织实施全区农林牧渔业、工业、建筑业、批发和零售业、住宿和餐饮业、房地产、服务业及能源、投资、消费、人口和城镇化率、劳动工资、就业、社会、科技、文化产业、城市基本情况、县乡村三级社会经济基本情况、资源环境、战略性新兴产业、高新技术产业、民营经济等统计调查，收集、汇总、整理和提供统计数据。   </w:t>
      </w:r>
    </w:p>
    <w:p>
      <w:pPr>
        <w:pStyle w:val="17"/>
      </w:pPr>
      <w:r>
        <w:t>（六）组织实施县域经济发展、农业产业化、特色小镇、节能降耗、绿色发展、城镇化发展、妇女儿童监测、新产业新业态新商业模式（以下简称新经济）等统计监测，收集、整理和提供统计数据。</w:t>
      </w:r>
    </w:p>
    <w:p>
      <w:pPr>
        <w:pStyle w:val="17"/>
      </w:pPr>
      <w:r>
        <w:t>（七）综合整理和提供财政、金融、旅游、交通运输、邮政、文化、教育、体育、卫生、社会保障、公用事业、对外经济、收入等基本统计数据。</w:t>
      </w:r>
    </w:p>
    <w:p>
      <w:pPr>
        <w:pStyle w:val="17"/>
      </w:pPr>
      <w:r>
        <w:t>（八）组织各乡（镇、区）和各部门的经济、社会、科技、服务业统计调查，统一核定、管理、公布全区性基本统计资料，定期发布全区国民经济和社会发展情况的统计信息，组织建立统计信息共享制度和发布制度。</w:t>
      </w:r>
    </w:p>
    <w:p>
      <w:pPr>
        <w:pStyle w:val="17"/>
      </w:pPr>
      <w:r>
        <w:t xml:space="preserve">（九）对国民经济、社会发展、科技进步和资源环境等情况进行统计分析、统计预测和统计监督，向区委、区政府及有关部门提供统计信息和咨询建议。 </w:t>
      </w:r>
    </w:p>
    <w:p>
      <w:pPr>
        <w:pStyle w:val="17"/>
      </w:pPr>
      <w:r>
        <w:t>（十）依法审批管理部门统计调查项目、调查计划、调查方案；组织指导专业统计基础工作、统计基层业务和规范化建设；组织建立统计信息管理制度，建立健全统计数据质量审核、监控和评估制度，开展对统计数据质量的检查和评估。</w:t>
      </w:r>
    </w:p>
    <w:p>
      <w:pPr>
        <w:pStyle w:val="17"/>
      </w:pPr>
      <w:r>
        <w:t>（十一）负责全区统计信息化系统和统计数据库体系建设工作，管理全区统计数据库网络，组织全区统计信息化系统建设。</w:t>
      </w:r>
    </w:p>
    <w:p>
      <w:pPr>
        <w:pStyle w:val="17"/>
      </w:pPr>
      <w:r>
        <w:t>（十二）协助管理乡（镇、区）统计工作；指导名录库建设、住户收支与生活状况调查、农民工监测、农民工市民化进程动态监测、主要畜禽监测、农作物对地调查、县级粮食产量抽样调查、劳动力调查、社情民意调查等工作；监督管理全区中央统计经费和区财政提供的统计经费。</w:t>
      </w:r>
    </w:p>
    <w:p>
      <w:pPr>
        <w:pStyle w:val="17"/>
      </w:pPr>
      <w: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17"/>
      </w:pPr>
      <w:r>
        <w:t>（十四）完成区委、区政府和市统计局交办的其他任务。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石家庄市鹿泉区统计局本级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874.24万元，其中：一般公共预算收入874.24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统计局本级年度单位预算中支出预算的总体情况。2025年支出预算874.24万元，其中基本支出710.34万元，包括人员经费562.07万元和日常公用经费148.28万元；项目支出163.90万元，主要为城乡住户调查、月度劳动力调查、劳动工资统计调查、1%人口抽样调查、人口变动抽样调查等资金支出。</w:t>
      </w:r>
    </w:p>
    <w:p>
      <w:pPr>
        <w:pStyle w:val="18"/>
      </w:pPr>
      <w:r>
        <w:t>3、比上年增减情况</w:t>
      </w:r>
    </w:p>
    <w:p>
      <w:pPr>
        <w:pStyle w:val="18"/>
      </w:pPr>
      <w:r>
        <w:t>2025年预算收支安排874.24万元，较2024年预算减少38.14万元，其中：基本支出减少20.04万元，主要为人员经费支出减少。项目支出减少18.10万元，主要为减少全国第五次经济普查、全国投入产出调查支出。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rFonts w:hint="default" w:eastAsia="方正仿宋_GBK"/>
          <w:lang w:val="en-US" w:eastAsia="zh-CN"/>
        </w:rPr>
      </w:pPr>
      <w:r>
        <w:rPr>
          <w:rFonts w:hint="eastAsia"/>
          <w:lang w:val="en-US" w:eastAsia="zh-CN"/>
        </w:rPr>
        <w:t>本</w:t>
      </w:r>
      <w:bookmarkStart w:id="1" w:name="_GoBack"/>
      <w:bookmarkEnd w:id="1"/>
      <w:r>
        <w:rPr>
          <w:rFonts w:hint="eastAsia"/>
          <w:lang w:val="en-US" w:eastAsia="zh-CN"/>
        </w:rPr>
        <w:t>单位2025年机关运行经费预算安排148.28万元。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2.70万元，其中因公出国（境）费0.00万元；公务用车购置及运维费2.70万元（其中：公务用车购置费为0.00万元，公务用车运维费2.70万元)；公务接待费0.00万元。与2024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1、2025城乡住户调查经费绩效目标表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13011025P00321510040W</w:t>
            </w:r>
          </w:p>
        </w:tc>
        <w:tc>
          <w:tcPr>
            <w:tcW w:w="2835" w:type="dxa"/>
            <w:vAlign w:val="center"/>
          </w:tcPr>
          <w:p>
            <w:pPr>
              <w:pStyle w:val="10"/>
            </w:pPr>
            <w:r>
              <w:t>项目名称</w:t>
            </w:r>
          </w:p>
        </w:tc>
        <w:tc>
          <w:tcPr>
            <w:tcW w:w="6095" w:type="dxa"/>
            <w:gridSpan w:val="3"/>
            <w:vAlign w:val="center"/>
          </w:tcPr>
          <w:p>
            <w:pPr>
              <w:pStyle w:val="12"/>
            </w:pPr>
            <w:r>
              <w:t>2025城乡住户调查经费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资金主要用于城乡住户调查经费的支出。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1.抽取110户农村、城镇住户作为记账户，开展统计调查，掌握居民的收入支出情况，为测算城乡居民可支配收入提供依据。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抽取记账户户数</w:t>
            </w:r>
          </w:p>
        </w:tc>
        <w:tc>
          <w:tcPr>
            <w:tcW w:w="5386" w:type="dxa"/>
            <w:vAlign w:val="center"/>
          </w:tcPr>
          <w:p>
            <w:pPr>
              <w:pStyle w:val="12"/>
            </w:pPr>
            <w:r>
              <w:t>农村、城镇居民记账户户数</w:t>
            </w:r>
          </w:p>
        </w:tc>
        <w:tc>
          <w:tcPr>
            <w:tcW w:w="2268" w:type="dxa"/>
            <w:vAlign w:val="center"/>
          </w:tcPr>
          <w:p>
            <w:pPr>
              <w:pStyle w:val="12"/>
            </w:pPr>
            <w:r>
              <w:t>110户</w:t>
            </w:r>
          </w:p>
        </w:tc>
        <w:tc>
          <w:tcPr>
            <w:tcW w:w="1276" w:type="dxa"/>
            <w:vAlign w:val="center"/>
          </w:tcPr>
          <w:p>
            <w:pPr>
              <w:pStyle w:val="12"/>
            </w:pPr>
            <w:r>
              <w:t>调查方案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辅助调查员人数</w:t>
            </w:r>
          </w:p>
        </w:tc>
        <w:tc>
          <w:tcPr>
            <w:tcW w:w="5386" w:type="dxa"/>
            <w:vAlign w:val="center"/>
          </w:tcPr>
          <w:p>
            <w:pPr>
              <w:pStyle w:val="12"/>
            </w:pPr>
            <w:r>
              <w:t>辅助调查员人数</w:t>
            </w:r>
          </w:p>
        </w:tc>
        <w:tc>
          <w:tcPr>
            <w:tcW w:w="2268" w:type="dxa"/>
            <w:vAlign w:val="center"/>
          </w:tcPr>
          <w:p>
            <w:pPr>
              <w:pStyle w:val="12"/>
            </w:pPr>
            <w:r>
              <w:t>11人</w:t>
            </w:r>
          </w:p>
        </w:tc>
        <w:tc>
          <w:tcPr>
            <w:tcW w:w="1276" w:type="dxa"/>
            <w:vAlign w:val="center"/>
          </w:tcPr>
          <w:p>
            <w:pPr>
              <w:pStyle w:val="12"/>
            </w:pPr>
            <w:r>
              <w:t>调查方案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农民工监测调查员人数</w:t>
            </w:r>
          </w:p>
        </w:tc>
        <w:tc>
          <w:tcPr>
            <w:tcW w:w="5386" w:type="dxa"/>
            <w:vAlign w:val="center"/>
          </w:tcPr>
          <w:p>
            <w:pPr>
              <w:pStyle w:val="12"/>
            </w:pPr>
            <w:r>
              <w:t>农民工监测调查员人数</w:t>
            </w:r>
          </w:p>
        </w:tc>
        <w:tc>
          <w:tcPr>
            <w:tcW w:w="2268" w:type="dxa"/>
            <w:vAlign w:val="center"/>
          </w:tcPr>
          <w:p>
            <w:pPr>
              <w:pStyle w:val="12"/>
            </w:pPr>
            <w:r>
              <w:t>3人</w:t>
            </w:r>
          </w:p>
        </w:tc>
        <w:tc>
          <w:tcPr>
            <w:tcW w:w="1276" w:type="dxa"/>
            <w:vAlign w:val="center"/>
          </w:tcPr>
          <w:p>
            <w:pPr>
              <w:pStyle w:val="12"/>
            </w:pPr>
            <w:r>
              <w:t>调查方案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数据录入误差率</w:t>
            </w:r>
          </w:p>
        </w:tc>
        <w:tc>
          <w:tcPr>
            <w:tcW w:w="5386" w:type="dxa"/>
            <w:vAlign w:val="center"/>
          </w:tcPr>
          <w:p>
            <w:pPr>
              <w:pStyle w:val="12"/>
            </w:pPr>
            <w:r>
              <w:t>数据录入误差率</w:t>
            </w:r>
          </w:p>
        </w:tc>
        <w:tc>
          <w:tcPr>
            <w:tcW w:w="2268" w:type="dxa"/>
            <w:vAlign w:val="center"/>
          </w:tcPr>
          <w:p>
            <w:pPr>
              <w:pStyle w:val="12"/>
            </w:pPr>
            <w:r>
              <w:t>&lt;5%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调查表按时完成情况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调查成本</w:t>
            </w:r>
          </w:p>
        </w:tc>
        <w:tc>
          <w:tcPr>
            <w:tcW w:w="5386" w:type="dxa"/>
            <w:vAlign w:val="center"/>
          </w:tcPr>
          <w:p>
            <w:pPr>
              <w:pStyle w:val="12"/>
            </w:pPr>
            <w:r>
              <w:t>城乡住户调查所需费用</w:t>
            </w:r>
          </w:p>
        </w:tc>
        <w:tc>
          <w:tcPr>
            <w:tcW w:w="2268" w:type="dxa"/>
            <w:vAlign w:val="center"/>
          </w:tcPr>
          <w:p>
            <w:pPr>
              <w:pStyle w:val="12"/>
            </w:pPr>
            <w:r>
              <w:t>103.96万元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入户走访次数</w:t>
            </w:r>
          </w:p>
        </w:tc>
        <w:tc>
          <w:tcPr>
            <w:tcW w:w="5386" w:type="dxa"/>
            <w:vAlign w:val="center"/>
          </w:tcPr>
          <w:p>
            <w:pPr>
              <w:pStyle w:val="12"/>
            </w:pPr>
            <w:r>
              <w:t>对调查户的填表质量进行指导、完善</w:t>
            </w:r>
          </w:p>
        </w:tc>
        <w:tc>
          <w:tcPr>
            <w:tcW w:w="2268" w:type="dxa"/>
            <w:vAlign w:val="center"/>
          </w:tcPr>
          <w:p>
            <w:pPr>
              <w:pStyle w:val="12"/>
            </w:pPr>
            <w:r>
              <w:t>≥4次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能够长期较好地开展统计调查工作的记账户的比率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记账户满意度</w:t>
            </w:r>
          </w:p>
        </w:tc>
        <w:tc>
          <w:tcPr>
            <w:tcW w:w="5386" w:type="dxa"/>
            <w:vAlign w:val="center"/>
          </w:tcPr>
          <w:p>
            <w:pPr>
              <w:pStyle w:val="12"/>
            </w:pPr>
            <w:r>
              <w:t>记账户满意所占比率</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2、2025劳动工资统计调查经费绩效目标表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13011025P00321510039H</w:t>
            </w:r>
          </w:p>
        </w:tc>
        <w:tc>
          <w:tcPr>
            <w:tcW w:w="2835" w:type="dxa"/>
            <w:vAlign w:val="center"/>
          </w:tcPr>
          <w:p>
            <w:pPr>
              <w:pStyle w:val="10"/>
            </w:pPr>
            <w:r>
              <w:t>项目名称</w:t>
            </w:r>
          </w:p>
        </w:tc>
        <w:tc>
          <w:tcPr>
            <w:tcW w:w="6095" w:type="dxa"/>
            <w:gridSpan w:val="3"/>
            <w:vAlign w:val="center"/>
          </w:tcPr>
          <w:p>
            <w:pPr>
              <w:pStyle w:val="12"/>
            </w:pPr>
            <w:r>
              <w:t>2025劳动工资统计调查经费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资金主要用于劳动工资统计调查活动经费的支出。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1.完成1464家四上、四下非一套单位、机关事业单位劳动工资统计调查工作，为计算城乡地域全口径法人单位平均工资提供依据，服务国民经济核算。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开展调查的户数</w:t>
            </w:r>
          </w:p>
        </w:tc>
        <w:tc>
          <w:tcPr>
            <w:tcW w:w="5386" w:type="dxa"/>
            <w:vAlign w:val="center"/>
          </w:tcPr>
          <w:p>
            <w:pPr>
              <w:pStyle w:val="12"/>
            </w:pPr>
            <w:r>
              <w:t>开展调查的户数</w:t>
            </w:r>
          </w:p>
        </w:tc>
        <w:tc>
          <w:tcPr>
            <w:tcW w:w="2268" w:type="dxa"/>
            <w:vAlign w:val="center"/>
          </w:tcPr>
          <w:p>
            <w:pPr>
              <w:pStyle w:val="12"/>
            </w:pPr>
            <w:r>
              <w:t>1464户</w:t>
            </w:r>
          </w:p>
        </w:tc>
        <w:tc>
          <w:tcPr>
            <w:tcW w:w="1276" w:type="dxa"/>
            <w:vAlign w:val="center"/>
          </w:tcPr>
          <w:p>
            <w:pPr>
              <w:pStyle w:val="12"/>
            </w:pPr>
            <w:r>
              <w:t>调查方案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调查按时完成率</w:t>
            </w:r>
          </w:p>
        </w:tc>
        <w:tc>
          <w:tcPr>
            <w:tcW w:w="5386" w:type="dxa"/>
            <w:vAlign w:val="center"/>
          </w:tcPr>
          <w:p>
            <w:pPr>
              <w:pStyle w:val="12"/>
            </w:pPr>
            <w:r>
              <w:t>按时上报数量占调查总数比率</w:t>
            </w:r>
          </w:p>
        </w:tc>
        <w:tc>
          <w:tcPr>
            <w:tcW w:w="2268" w:type="dxa"/>
            <w:vAlign w:val="center"/>
          </w:tcPr>
          <w:p>
            <w:pPr>
              <w:pStyle w:val="12"/>
            </w:pPr>
            <w:r>
              <w:t>≥95%</w:t>
            </w:r>
          </w:p>
        </w:tc>
        <w:tc>
          <w:tcPr>
            <w:tcW w:w="1276" w:type="dxa"/>
            <w:vAlign w:val="center"/>
          </w:tcPr>
          <w:p>
            <w:pPr>
              <w:pStyle w:val="12"/>
            </w:pPr>
            <w:r>
              <w:t>调查方案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调查成本</w:t>
            </w:r>
          </w:p>
        </w:tc>
        <w:tc>
          <w:tcPr>
            <w:tcW w:w="5386" w:type="dxa"/>
            <w:vAlign w:val="center"/>
          </w:tcPr>
          <w:p>
            <w:pPr>
              <w:pStyle w:val="12"/>
            </w:pPr>
            <w:r>
              <w:t>调查成本</w:t>
            </w:r>
          </w:p>
        </w:tc>
        <w:tc>
          <w:tcPr>
            <w:tcW w:w="2268" w:type="dxa"/>
            <w:vAlign w:val="center"/>
          </w:tcPr>
          <w:p>
            <w:pPr>
              <w:pStyle w:val="12"/>
            </w:pPr>
            <w:r>
              <w:t>11.03万元</w:t>
            </w:r>
          </w:p>
        </w:tc>
        <w:tc>
          <w:tcPr>
            <w:tcW w:w="1276" w:type="dxa"/>
            <w:vAlign w:val="center"/>
          </w:tcPr>
          <w:p>
            <w:pPr>
              <w:pStyle w:val="12"/>
            </w:pPr>
            <w:r>
              <w:t>调查方案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数据录入误差率</w:t>
            </w:r>
          </w:p>
        </w:tc>
        <w:tc>
          <w:tcPr>
            <w:tcW w:w="5386" w:type="dxa"/>
            <w:vAlign w:val="center"/>
          </w:tcPr>
          <w:p>
            <w:pPr>
              <w:pStyle w:val="12"/>
            </w:pPr>
            <w:r>
              <w:t>录入错误次数占全部录入次数的比率</w:t>
            </w:r>
          </w:p>
        </w:tc>
        <w:tc>
          <w:tcPr>
            <w:tcW w:w="2268" w:type="dxa"/>
            <w:vAlign w:val="center"/>
          </w:tcPr>
          <w:p>
            <w:pPr>
              <w:pStyle w:val="12"/>
            </w:pPr>
            <w:r>
              <w:t>≤5%</w:t>
            </w:r>
          </w:p>
        </w:tc>
        <w:tc>
          <w:tcPr>
            <w:tcW w:w="1276" w:type="dxa"/>
            <w:vAlign w:val="center"/>
          </w:tcPr>
          <w:p>
            <w:pPr>
              <w:pStyle w:val="12"/>
            </w:pPr>
            <w:r>
              <w:t>调查方案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劳动工资统计数据使用年限</w:t>
            </w:r>
          </w:p>
        </w:tc>
        <w:tc>
          <w:tcPr>
            <w:tcW w:w="5386" w:type="dxa"/>
            <w:vAlign w:val="center"/>
          </w:tcPr>
          <w:p>
            <w:pPr>
              <w:pStyle w:val="12"/>
            </w:pPr>
            <w:r>
              <w:t>统计数据使用年限</w:t>
            </w:r>
          </w:p>
        </w:tc>
        <w:tc>
          <w:tcPr>
            <w:tcW w:w="2268" w:type="dxa"/>
            <w:vAlign w:val="center"/>
          </w:tcPr>
          <w:p>
            <w:pPr>
              <w:pStyle w:val="12"/>
            </w:pPr>
            <w:r>
              <w:t>≥1年</w:t>
            </w:r>
          </w:p>
        </w:tc>
        <w:tc>
          <w:tcPr>
            <w:tcW w:w="1276" w:type="dxa"/>
            <w:vAlign w:val="center"/>
          </w:tcPr>
          <w:p>
            <w:pPr>
              <w:pStyle w:val="12"/>
            </w:pPr>
            <w:r>
              <w:t>调查方案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能长期较好地开展统计调查工作单位所占比率</w:t>
            </w:r>
          </w:p>
        </w:tc>
        <w:tc>
          <w:tcPr>
            <w:tcW w:w="2268" w:type="dxa"/>
            <w:vAlign w:val="center"/>
          </w:tcPr>
          <w:p>
            <w:pPr>
              <w:pStyle w:val="12"/>
            </w:pPr>
            <w:r>
              <w:t>≥90%</w:t>
            </w:r>
          </w:p>
        </w:tc>
        <w:tc>
          <w:tcPr>
            <w:tcW w:w="1276" w:type="dxa"/>
            <w:vAlign w:val="center"/>
          </w:tcPr>
          <w:p>
            <w:pPr>
              <w:pStyle w:val="12"/>
            </w:pPr>
            <w:r>
              <w:t>调查方案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调查单位满意度</w:t>
            </w:r>
          </w:p>
        </w:tc>
        <w:tc>
          <w:tcPr>
            <w:tcW w:w="5386" w:type="dxa"/>
            <w:vAlign w:val="center"/>
          </w:tcPr>
          <w:p>
            <w:pPr>
              <w:pStyle w:val="12"/>
            </w:pPr>
            <w:r>
              <w:t>被调查单位满意度</w:t>
            </w:r>
          </w:p>
        </w:tc>
        <w:tc>
          <w:tcPr>
            <w:tcW w:w="2268" w:type="dxa"/>
            <w:vAlign w:val="center"/>
          </w:tcPr>
          <w:p>
            <w:pPr>
              <w:pStyle w:val="12"/>
            </w:pPr>
            <w:r>
              <w:t>≥90%</w:t>
            </w:r>
          </w:p>
        </w:tc>
        <w:tc>
          <w:tcPr>
            <w:tcW w:w="1276" w:type="dxa"/>
            <w:vAlign w:val="center"/>
          </w:tcPr>
          <w:p>
            <w:pPr>
              <w:pStyle w:val="12"/>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3、2025年1%人口抽样调查绩效目标表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13011025P00002410001B</w:t>
            </w:r>
          </w:p>
        </w:tc>
        <w:tc>
          <w:tcPr>
            <w:tcW w:w="2835" w:type="dxa"/>
            <w:vAlign w:val="center"/>
          </w:tcPr>
          <w:p>
            <w:pPr>
              <w:pStyle w:val="10"/>
            </w:pPr>
            <w:r>
              <w:t>项目名称</w:t>
            </w:r>
          </w:p>
        </w:tc>
        <w:tc>
          <w:tcPr>
            <w:tcW w:w="6095" w:type="dxa"/>
            <w:gridSpan w:val="3"/>
            <w:vAlign w:val="center"/>
          </w:tcPr>
          <w:p>
            <w:pPr>
              <w:pStyle w:val="12"/>
            </w:pPr>
            <w:r>
              <w:t>2025年1%人口抽样调查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资金主要用于1%人口抽样调查费用的支出。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1.完成全区2025年1%人口抽样调查工作。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普查员人数</w:t>
            </w:r>
          </w:p>
        </w:tc>
        <w:tc>
          <w:tcPr>
            <w:tcW w:w="5386" w:type="dxa"/>
            <w:vAlign w:val="center"/>
          </w:tcPr>
          <w:p>
            <w:pPr>
              <w:pStyle w:val="12"/>
            </w:pPr>
            <w:r>
              <w:t>项目普查员的人数</w:t>
            </w:r>
          </w:p>
        </w:tc>
        <w:tc>
          <w:tcPr>
            <w:tcW w:w="2268" w:type="dxa"/>
            <w:vAlign w:val="center"/>
          </w:tcPr>
          <w:p>
            <w:pPr>
              <w:pStyle w:val="12"/>
            </w:pPr>
            <w:r>
              <w:t>80人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专项调查完成率</w:t>
            </w:r>
          </w:p>
        </w:tc>
        <w:tc>
          <w:tcPr>
            <w:tcW w:w="5386" w:type="dxa"/>
            <w:vAlign w:val="center"/>
          </w:tcPr>
          <w:p>
            <w:pPr>
              <w:pStyle w:val="12"/>
            </w:pPr>
            <w:r>
              <w:t>1%人口抽样调查的完成程度</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抽样调查工作的按时完成率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抽样调查成本</w:t>
            </w:r>
          </w:p>
        </w:tc>
        <w:tc>
          <w:tcPr>
            <w:tcW w:w="5386" w:type="dxa"/>
            <w:vAlign w:val="center"/>
          </w:tcPr>
          <w:p>
            <w:pPr>
              <w:pStyle w:val="12"/>
            </w:pPr>
            <w:r>
              <w:t>完成1%人口抽样调查的成本数</w:t>
            </w:r>
          </w:p>
        </w:tc>
        <w:tc>
          <w:tcPr>
            <w:tcW w:w="2268" w:type="dxa"/>
            <w:vAlign w:val="center"/>
          </w:tcPr>
          <w:p>
            <w:pPr>
              <w:pStyle w:val="12"/>
            </w:pPr>
            <w:r>
              <w:t>30.6万元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调查数据是否有参考价值</w:t>
            </w:r>
          </w:p>
        </w:tc>
        <w:tc>
          <w:tcPr>
            <w:tcW w:w="5386" w:type="dxa"/>
            <w:vAlign w:val="center"/>
          </w:tcPr>
          <w:p>
            <w:pPr>
              <w:pStyle w:val="12"/>
            </w:pPr>
            <w:r>
              <w:t>反映调查数据对国家政策的制定是否具有参考价值</w:t>
            </w:r>
          </w:p>
        </w:tc>
        <w:tc>
          <w:tcPr>
            <w:tcW w:w="2268" w:type="dxa"/>
            <w:vAlign w:val="center"/>
          </w:tcPr>
          <w:p>
            <w:pPr>
              <w:pStyle w:val="12"/>
            </w:pPr>
            <w:r>
              <w:t>参考价值</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项目是否提高统计数据质量</w:t>
            </w:r>
          </w:p>
        </w:tc>
        <w:tc>
          <w:tcPr>
            <w:tcW w:w="5386" w:type="dxa"/>
            <w:vAlign w:val="center"/>
          </w:tcPr>
          <w:p>
            <w:pPr>
              <w:pStyle w:val="12"/>
            </w:pPr>
            <w:r>
              <w:t>反映调查的完成是否有助于提高统计数据质量的情况</w:t>
            </w:r>
          </w:p>
        </w:tc>
        <w:tc>
          <w:tcPr>
            <w:tcW w:w="2268" w:type="dxa"/>
            <w:vAlign w:val="center"/>
          </w:tcPr>
          <w:p>
            <w:pPr>
              <w:pStyle w:val="12"/>
            </w:pPr>
            <w:r>
              <w:t>提高数据质量</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数据使用人对数据调查的满意程度</w:t>
            </w:r>
          </w:p>
        </w:tc>
        <w:tc>
          <w:tcPr>
            <w:tcW w:w="2268" w:type="dxa"/>
            <w:vAlign w:val="center"/>
          </w:tcPr>
          <w:p>
            <w:pPr>
              <w:pStyle w:val="12"/>
            </w:pPr>
            <w:r>
              <w:t>≥95%</w:t>
            </w:r>
          </w:p>
        </w:tc>
        <w:tc>
          <w:tcPr>
            <w:tcW w:w="1276" w:type="dxa"/>
            <w:vAlign w:val="center"/>
          </w:tcPr>
          <w:p>
            <w:pPr>
              <w:pStyle w:val="12"/>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4、2025年统计调查、统计培训经费绩效目标表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13011025P00002610002A</w:t>
            </w:r>
          </w:p>
        </w:tc>
        <w:tc>
          <w:tcPr>
            <w:tcW w:w="2835" w:type="dxa"/>
            <w:vAlign w:val="center"/>
          </w:tcPr>
          <w:p>
            <w:pPr>
              <w:pStyle w:val="10"/>
            </w:pPr>
            <w:r>
              <w:t>项目名称</w:t>
            </w:r>
          </w:p>
        </w:tc>
        <w:tc>
          <w:tcPr>
            <w:tcW w:w="6095" w:type="dxa"/>
            <w:gridSpan w:val="3"/>
            <w:vAlign w:val="center"/>
          </w:tcPr>
          <w:p>
            <w:pPr>
              <w:pStyle w:val="12"/>
            </w:pPr>
            <w:r>
              <w:t>2025年统计调查、统计培训经费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资金主要用于统计调查、统计培训经费的支出。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1.完成2025年农业农村统计调查工作。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辅助调查员人数</w:t>
            </w:r>
          </w:p>
        </w:tc>
        <w:tc>
          <w:tcPr>
            <w:tcW w:w="5386" w:type="dxa"/>
            <w:vAlign w:val="center"/>
          </w:tcPr>
          <w:p>
            <w:pPr>
              <w:pStyle w:val="12"/>
            </w:pPr>
            <w:r>
              <w:t>辅助调查员的人数</w:t>
            </w:r>
          </w:p>
        </w:tc>
        <w:tc>
          <w:tcPr>
            <w:tcW w:w="2268" w:type="dxa"/>
            <w:vAlign w:val="center"/>
          </w:tcPr>
          <w:p>
            <w:pPr>
              <w:pStyle w:val="12"/>
            </w:pPr>
            <w:r>
              <w:t>5人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培训次数</w:t>
            </w:r>
          </w:p>
        </w:tc>
        <w:tc>
          <w:tcPr>
            <w:tcW w:w="5386" w:type="dxa"/>
            <w:vAlign w:val="center"/>
          </w:tcPr>
          <w:p>
            <w:pPr>
              <w:pStyle w:val="12"/>
            </w:pPr>
            <w:r>
              <w:t>业务培训的次数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专项统计完成率</w:t>
            </w:r>
          </w:p>
        </w:tc>
        <w:tc>
          <w:tcPr>
            <w:tcW w:w="5386" w:type="dxa"/>
            <w:vAlign w:val="center"/>
          </w:tcPr>
          <w:p>
            <w:pPr>
              <w:pStyle w:val="12"/>
            </w:pPr>
            <w:r>
              <w:t>反映农村统计调查的完成程度</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按时完成统计调查的比率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调查成本</w:t>
            </w:r>
          </w:p>
        </w:tc>
        <w:tc>
          <w:tcPr>
            <w:tcW w:w="5386" w:type="dxa"/>
            <w:vAlign w:val="center"/>
          </w:tcPr>
          <w:p>
            <w:pPr>
              <w:pStyle w:val="12"/>
            </w:pPr>
            <w:r>
              <w:t>调查的成本数</w:t>
            </w:r>
          </w:p>
        </w:tc>
        <w:tc>
          <w:tcPr>
            <w:tcW w:w="2268" w:type="dxa"/>
            <w:vAlign w:val="center"/>
          </w:tcPr>
          <w:p>
            <w:pPr>
              <w:pStyle w:val="12"/>
            </w:pPr>
            <w:r>
              <w:t>≥5万元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调查数据是否有参考价值</w:t>
            </w:r>
          </w:p>
        </w:tc>
        <w:tc>
          <w:tcPr>
            <w:tcW w:w="5386" w:type="dxa"/>
            <w:vAlign w:val="center"/>
          </w:tcPr>
          <w:p>
            <w:pPr>
              <w:pStyle w:val="12"/>
            </w:pPr>
            <w:r>
              <w:t>反映调查数据对国家政策的制定是否具有参考价值</w:t>
            </w:r>
          </w:p>
        </w:tc>
        <w:tc>
          <w:tcPr>
            <w:tcW w:w="2268" w:type="dxa"/>
            <w:vAlign w:val="center"/>
          </w:tcPr>
          <w:p>
            <w:pPr>
              <w:pStyle w:val="12"/>
            </w:pPr>
            <w:r>
              <w:t>参考价值</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项目是否提高统计数据质量</w:t>
            </w:r>
          </w:p>
        </w:tc>
        <w:tc>
          <w:tcPr>
            <w:tcW w:w="5386" w:type="dxa"/>
            <w:vAlign w:val="center"/>
          </w:tcPr>
          <w:p>
            <w:pPr>
              <w:pStyle w:val="12"/>
            </w:pPr>
            <w:r>
              <w:t>反映调查的完成是否有助于提高统计数据质量的情况</w:t>
            </w:r>
          </w:p>
        </w:tc>
        <w:tc>
          <w:tcPr>
            <w:tcW w:w="2268" w:type="dxa"/>
            <w:vAlign w:val="center"/>
          </w:tcPr>
          <w:p>
            <w:pPr>
              <w:pStyle w:val="12"/>
            </w:pPr>
            <w:r>
              <w:t>提高数据质量</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数据使用人的满意程度</w:t>
            </w:r>
          </w:p>
        </w:tc>
        <w:tc>
          <w:tcPr>
            <w:tcW w:w="2268" w:type="dxa"/>
            <w:vAlign w:val="center"/>
          </w:tcPr>
          <w:p>
            <w:pPr>
              <w:pStyle w:val="12"/>
            </w:pPr>
            <w:r>
              <w:t>≥95%</w:t>
            </w:r>
          </w:p>
        </w:tc>
        <w:tc>
          <w:tcPr>
            <w:tcW w:w="1276" w:type="dxa"/>
            <w:vAlign w:val="center"/>
          </w:tcPr>
          <w:p>
            <w:pPr>
              <w:pStyle w:val="12"/>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5、2025人口变动抽样调查经费绩效目标表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13011025P003215100424</w:t>
            </w:r>
          </w:p>
        </w:tc>
        <w:tc>
          <w:tcPr>
            <w:tcW w:w="2835" w:type="dxa"/>
            <w:vAlign w:val="center"/>
          </w:tcPr>
          <w:p>
            <w:pPr>
              <w:pStyle w:val="10"/>
            </w:pPr>
            <w:r>
              <w:t>项目名称</w:t>
            </w:r>
          </w:p>
        </w:tc>
        <w:tc>
          <w:tcPr>
            <w:tcW w:w="6095" w:type="dxa"/>
            <w:gridSpan w:val="3"/>
            <w:vAlign w:val="center"/>
          </w:tcPr>
          <w:p>
            <w:pPr>
              <w:pStyle w:val="12"/>
            </w:pPr>
            <w:r>
              <w:t>2025人口变动抽样调查经费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主要用于人口变动抽样调查经费的支出。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1.根据国家统计局的要求开展年度人口抽样调查工作，抽取1000户左右住户开展入户调查，为国家统计核算提供数据。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抽取户数</w:t>
            </w:r>
          </w:p>
        </w:tc>
        <w:tc>
          <w:tcPr>
            <w:tcW w:w="5386" w:type="dxa"/>
            <w:vAlign w:val="center"/>
          </w:tcPr>
          <w:p>
            <w:pPr>
              <w:pStyle w:val="12"/>
            </w:pPr>
            <w:r>
              <w:t>抽取调查户数</w:t>
            </w:r>
          </w:p>
        </w:tc>
        <w:tc>
          <w:tcPr>
            <w:tcW w:w="2268" w:type="dxa"/>
            <w:vAlign w:val="center"/>
          </w:tcPr>
          <w:p>
            <w:pPr>
              <w:pStyle w:val="12"/>
            </w:pPr>
            <w:r>
              <w:t>1000户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数据录入正确率</w:t>
            </w:r>
          </w:p>
        </w:tc>
        <w:tc>
          <w:tcPr>
            <w:tcW w:w="5386" w:type="dxa"/>
            <w:vAlign w:val="center"/>
          </w:tcPr>
          <w:p>
            <w:pPr>
              <w:pStyle w:val="12"/>
            </w:pPr>
            <w:r>
              <w:t>调查数据录入正确率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报表按时上报率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调查成本</w:t>
            </w:r>
          </w:p>
        </w:tc>
        <w:tc>
          <w:tcPr>
            <w:tcW w:w="5386" w:type="dxa"/>
            <w:vAlign w:val="center"/>
          </w:tcPr>
          <w:p>
            <w:pPr>
              <w:pStyle w:val="12"/>
            </w:pPr>
            <w:r>
              <w:t>调查成本</w:t>
            </w:r>
          </w:p>
        </w:tc>
        <w:tc>
          <w:tcPr>
            <w:tcW w:w="2268" w:type="dxa"/>
            <w:vAlign w:val="center"/>
          </w:tcPr>
          <w:p>
            <w:pPr>
              <w:pStyle w:val="12"/>
            </w:pPr>
            <w:r>
              <w:t>4.7万元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抽样调查数据使用年限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满足率</w:t>
            </w:r>
          </w:p>
        </w:tc>
        <w:tc>
          <w:tcPr>
            <w:tcW w:w="5386" w:type="dxa"/>
            <w:vAlign w:val="center"/>
          </w:tcPr>
          <w:p>
            <w:pPr>
              <w:pStyle w:val="12"/>
            </w:pPr>
            <w:r>
              <w:t>满足统计核算要求的程度</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人民群众满意度</w:t>
            </w:r>
          </w:p>
        </w:tc>
        <w:tc>
          <w:tcPr>
            <w:tcW w:w="5386" w:type="dxa"/>
            <w:vAlign w:val="center"/>
          </w:tcPr>
          <w:p>
            <w:pPr>
              <w:pStyle w:val="12"/>
            </w:pPr>
            <w:r>
              <w:t>人民群众满意度</w:t>
            </w:r>
          </w:p>
        </w:tc>
        <w:tc>
          <w:tcPr>
            <w:tcW w:w="2268" w:type="dxa"/>
            <w:vAlign w:val="center"/>
          </w:tcPr>
          <w:p>
            <w:pPr>
              <w:pStyle w:val="12"/>
            </w:pPr>
            <w:r>
              <w:t>≥90%</w:t>
            </w:r>
          </w:p>
        </w:tc>
        <w:tc>
          <w:tcPr>
            <w:tcW w:w="1276" w:type="dxa"/>
            <w:vAlign w:val="center"/>
          </w:tcPr>
          <w:p>
            <w:pPr>
              <w:pStyle w:val="12"/>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6、2025统计调查、统计培训经费绩效目标表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13011025P00321510038X</w:t>
            </w:r>
          </w:p>
        </w:tc>
        <w:tc>
          <w:tcPr>
            <w:tcW w:w="2835" w:type="dxa"/>
            <w:vAlign w:val="center"/>
          </w:tcPr>
          <w:p>
            <w:pPr>
              <w:pStyle w:val="10"/>
            </w:pPr>
            <w:r>
              <w:t>项目名称</w:t>
            </w:r>
          </w:p>
        </w:tc>
        <w:tc>
          <w:tcPr>
            <w:tcW w:w="6095" w:type="dxa"/>
            <w:gridSpan w:val="3"/>
            <w:vAlign w:val="center"/>
          </w:tcPr>
          <w:p>
            <w:pPr>
              <w:pStyle w:val="12"/>
            </w:pPr>
            <w:r>
              <w:t>2025统计调查、统计培训经费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资金主要用于统计调查、统计培训费用的支出。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1.按照统计制度要求开展夏粮监测、遥感测量、农民工调查等统计调查活动，满足国家统计核算要求，并对统计从业人员、调查员进行定期培训，为长期较好开展统计工作服务。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培训人数</w:t>
            </w:r>
          </w:p>
        </w:tc>
        <w:tc>
          <w:tcPr>
            <w:tcW w:w="5386" w:type="dxa"/>
            <w:vAlign w:val="center"/>
          </w:tcPr>
          <w:p>
            <w:pPr>
              <w:pStyle w:val="12"/>
            </w:pPr>
            <w:r>
              <w:t>各项调查培训的总人数</w:t>
            </w:r>
          </w:p>
        </w:tc>
        <w:tc>
          <w:tcPr>
            <w:tcW w:w="2268" w:type="dxa"/>
            <w:vAlign w:val="center"/>
          </w:tcPr>
          <w:p>
            <w:pPr>
              <w:pStyle w:val="12"/>
            </w:pPr>
            <w:r>
              <w:t>≥300人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数据录入正确率</w:t>
            </w:r>
          </w:p>
        </w:tc>
        <w:tc>
          <w:tcPr>
            <w:tcW w:w="5386" w:type="dxa"/>
            <w:vAlign w:val="center"/>
          </w:tcPr>
          <w:p>
            <w:pPr>
              <w:pStyle w:val="12"/>
            </w:pPr>
            <w:r>
              <w:t>调查数据录入正确率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项目按时完成的比率</w:t>
            </w:r>
          </w:p>
        </w:tc>
        <w:tc>
          <w:tcPr>
            <w:tcW w:w="5386" w:type="dxa"/>
            <w:vAlign w:val="center"/>
          </w:tcPr>
          <w:p>
            <w:pPr>
              <w:pStyle w:val="12"/>
            </w:pPr>
            <w:r>
              <w:t>调查按时完成比率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调查、培训成本</w:t>
            </w:r>
          </w:p>
        </w:tc>
        <w:tc>
          <w:tcPr>
            <w:tcW w:w="5386" w:type="dxa"/>
            <w:vAlign w:val="center"/>
          </w:tcPr>
          <w:p>
            <w:pPr>
              <w:pStyle w:val="12"/>
            </w:pPr>
            <w:r>
              <w:t>统计调查、统计培训成本</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参加培训后，能长期较好完成统计调查工作人员的比率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各项调查达标率</w:t>
            </w:r>
          </w:p>
        </w:tc>
        <w:tc>
          <w:tcPr>
            <w:tcW w:w="5386" w:type="dxa"/>
            <w:vAlign w:val="center"/>
          </w:tcPr>
          <w:p>
            <w:pPr>
              <w:pStyle w:val="12"/>
            </w:pPr>
            <w:r>
              <w:t>各项调查满足统计制度要求的比率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参培统计人员满意度</w:t>
            </w:r>
          </w:p>
        </w:tc>
        <w:tc>
          <w:tcPr>
            <w:tcW w:w="5386" w:type="dxa"/>
            <w:vAlign w:val="center"/>
          </w:tcPr>
          <w:p>
            <w:pPr>
              <w:pStyle w:val="12"/>
            </w:pPr>
            <w:r>
              <w:t>参培统计人员满意度</w:t>
            </w:r>
          </w:p>
        </w:tc>
        <w:tc>
          <w:tcPr>
            <w:tcW w:w="2268" w:type="dxa"/>
            <w:vAlign w:val="center"/>
          </w:tcPr>
          <w:p>
            <w:pPr>
              <w:pStyle w:val="12"/>
            </w:pPr>
            <w:r>
              <w:t>≥90%</w:t>
            </w:r>
          </w:p>
        </w:tc>
        <w:tc>
          <w:tcPr>
            <w:tcW w:w="1276" w:type="dxa"/>
            <w:vAlign w:val="center"/>
          </w:tcPr>
          <w:p>
            <w:pPr>
              <w:pStyle w:val="12"/>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7、2025统计资料电子化工作绩效目标表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13011025P00321510046J</w:t>
            </w:r>
          </w:p>
        </w:tc>
        <w:tc>
          <w:tcPr>
            <w:tcW w:w="2835" w:type="dxa"/>
            <w:vAlign w:val="center"/>
          </w:tcPr>
          <w:p>
            <w:pPr>
              <w:pStyle w:val="10"/>
            </w:pPr>
            <w:r>
              <w:t>项目名称</w:t>
            </w:r>
          </w:p>
        </w:tc>
        <w:tc>
          <w:tcPr>
            <w:tcW w:w="6095" w:type="dxa"/>
            <w:gridSpan w:val="3"/>
            <w:vAlign w:val="center"/>
          </w:tcPr>
          <w:p>
            <w:pPr>
              <w:pStyle w:val="12"/>
            </w:pPr>
            <w:r>
              <w:t>2025统计资料电子化工作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资金主要用于统计资料电子化费用的支出。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1.进一步加强统计资料统一管理，提升统计资料服务质效、促进现代信息技术与统计资料管理深度融合，服务统计改革发展、提供数据支撑。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统计资料电子化数量</w:t>
            </w:r>
          </w:p>
        </w:tc>
        <w:tc>
          <w:tcPr>
            <w:tcW w:w="5386" w:type="dxa"/>
            <w:vAlign w:val="center"/>
          </w:tcPr>
          <w:p>
            <w:pPr>
              <w:pStyle w:val="12"/>
            </w:pPr>
            <w:r>
              <w:t>统计资料、人口普查等资料汇编本数</w:t>
            </w:r>
          </w:p>
        </w:tc>
        <w:tc>
          <w:tcPr>
            <w:tcW w:w="2268" w:type="dxa"/>
            <w:vAlign w:val="center"/>
          </w:tcPr>
          <w:p>
            <w:pPr>
              <w:pStyle w:val="12"/>
            </w:pPr>
            <w:r>
              <w:t>≥61本</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数据完整率</w:t>
            </w:r>
          </w:p>
        </w:tc>
        <w:tc>
          <w:tcPr>
            <w:tcW w:w="5386" w:type="dxa"/>
            <w:vAlign w:val="center"/>
          </w:tcPr>
          <w:p>
            <w:pPr>
              <w:pStyle w:val="12"/>
            </w:pPr>
            <w:r>
              <w:t>统计资料数据完整率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统计资料电子化项目按时完成率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统计资料电子化项目成本</w:t>
            </w:r>
          </w:p>
        </w:tc>
        <w:tc>
          <w:tcPr>
            <w:tcW w:w="2268" w:type="dxa"/>
            <w:vAlign w:val="center"/>
          </w:tcPr>
          <w:p>
            <w:pPr>
              <w:pStyle w:val="12"/>
            </w:pPr>
            <w:r>
              <w:t>3万元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能够长期服务统计发展，提供数据支撑。</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服务的改善与提升</w:t>
            </w:r>
          </w:p>
        </w:tc>
        <w:tc>
          <w:tcPr>
            <w:tcW w:w="5386" w:type="dxa"/>
            <w:vAlign w:val="center"/>
          </w:tcPr>
          <w:p>
            <w:pPr>
              <w:pStyle w:val="12"/>
            </w:pPr>
            <w:r>
              <w:t>服务的改善与提升</w:t>
            </w:r>
          </w:p>
        </w:tc>
        <w:tc>
          <w:tcPr>
            <w:tcW w:w="2268" w:type="dxa"/>
            <w:vAlign w:val="center"/>
          </w:tcPr>
          <w:p>
            <w:pPr>
              <w:pStyle w:val="12"/>
            </w:pPr>
            <w:r>
              <w:t>能够较好地提升统计资料服务质效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≥95%</w:t>
            </w:r>
          </w:p>
        </w:tc>
        <w:tc>
          <w:tcPr>
            <w:tcW w:w="1276" w:type="dxa"/>
            <w:vAlign w:val="center"/>
          </w:tcPr>
          <w:p>
            <w:pPr>
              <w:pStyle w:val="12"/>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8、2025投入产出资料汇编绩效目标表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13011025P00321510045Y</w:t>
            </w:r>
          </w:p>
        </w:tc>
        <w:tc>
          <w:tcPr>
            <w:tcW w:w="2835" w:type="dxa"/>
            <w:vAlign w:val="center"/>
          </w:tcPr>
          <w:p>
            <w:pPr>
              <w:pStyle w:val="10"/>
            </w:pPr>
            <w:r>
              <w:t>项目名称</w:t>
            </w:r>
          </w:p>
        </w:tc>
        <w:tc>
          <w:tcPr>
            <w:tcW w:w="6095" w:type="dxa"/>
            <w:gridSpan w:val="3"/>
            <w:vAlign w:val="center"/>
          </w:tcPr>
          <w:p>
            <w:pPr>
              <w:pStyle w:val="12"/>
            </w:pPr>
            <w:r>
              <w:t>2025投入产出资料汇编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资金主要用于印刷统计业务投入产出资料汇编的费用支出。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1.根据全国第八次投入产出调查工作安排，编辑出版《2023年投入产出调查表》，印刷《投入产出资料汇编》上下两册100套；《2023年鹿泉投入产出分析资料》100本；表彰企业牌匾、证书等。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印刷数量</w:t>
            </w:r>
          </w:p>
        </w:tc>
        <w:tc>
          <w:tcPr>
            <w:tcW w:w="5386" w:type="dxa"/>
            <w:vAlign w:val="center"/>
          </w:tcPr>
          <w:p>
            <w:pPr>
              <w:pStyle w:val="12"/>
            </w:pPr>
            <w:r>
              <w:t>投入产出资料汇编印刷的数量</w:t>
            </w:r>
          </w:p>
        </w:tc>
        <w:tc>
          <w:tcPr>
            <w:tcW w:w="2268" w:type="dxa"/>
            <w:vAlign w:val="center"/>
          </w:tcPr>
          <w:p>
            <w:pPr>
              <w:pStyle w:val="12"/>
            </w:pPr>
            <w:r>
              <w:t>≥100套</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印刷数量</w:t>
            </w:r>
          </w:p>
        </w:tc>
        <w:tc>
          <w:tcPr>
            <w:tcW w:w="5386" w:type="dxa"/>
            <w:vAlign w:val="center"/>
          </w:tcPr>
          <w:p>
            <w:pPr>
              <w:pStyle w:val="12"/>
            </w:pPr>
            <w:r>
              <w:t>2023年鹿泉投入产出分析资料印刷的数量</w:t>
            </w:r>
          </w:p>
        </w:tc>
        <w:tc>
          <w:tcPr>
            <w:tcW w:w="2268" w:type="dxa"/>
            <w:vAlign w:val="center"/>
          </w:tcPr>
          <w:p>
            <w:pPr>
              <w:pStyle w:val="12"/>
            </w:pPr>
            <w:r>
              <w:t>≥100本</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印刷合格率</w:t>
            </w:r>
          </w:p>
        </w:tc>
        <w:tc>
          <w:tcPr>
            <w:tcW w:w="5386" w:type="dxa"/>
            <w:vAlign w:val="center"/>
          </w:tcPr>
          <w:p>
            <w:pPr>
              <w:pStyle w:val="12"/>
            </w:pPr>
            <w:r>
              <w:t>印刷资料的合格比率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工作按时完成率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印刷成本</w:t>
            </w:r>
          </w:p>
        </w:tc>
        <w:tc>
          <w:tcPr>
            <w:tcW w:w="5386" w:type="dxa"/>
            <w:vAlign w:val="center"/>
          </w:tcPr>
          <w:p>
            <w:pPr>
              <w:pStyle w:val="12"/>
            </w:pPr>
            <w:r>
              <w:t>印刷资料的成本</w:t>
            </w:r>
          </w:p>
        </w:tc>
        <w:tc>
          <w:tcPr>
            <w:tcW w:w="2268" w:type="dxa"/>
            <w:vAlign w:val="center"/>
          </w:tcPr>
          <w:p>
            <w:pPr>
              <w:pStyle w:val="12"/>
            </w:pPr>
            <w:r>
              <w:t>3万元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调查数据是否有参考价值</w:t>
            </w:r>
          </w:p>
        </w:tc>
        <w:tc>
          <w:tcPr>
            <w:tcW w:w="5386" w:type="dxa"/>
            <w:vAlign w:val="center"/>
          </w:tcPr>
          <w:p>
            <w:pPr>
              <w:pStyle w:val="12"/>
            </w:pPr>
            <w:r>
              <w:t>反映调查数据对经济政策的制定是否具有参考价值</w:t>
            </w:r>
          </w:p>
        </w:tc>
        <w:tc>
          <w:tcPr>
            <w:tcW w:w="2268" w:type="dxa"/>
            <w:vAlign w:val="center"/>
          </w:tcPr>
          <w:p>
            <w:pPr>
              <w:pStyle w:val="12"/>
            </w:pPr>
            <w:r>
              <w:t>反映价值</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项目是否提高统计数据质量</w:t>
            </w:r>
          </w:p>
        </w:tc>
        <w:tc>
          <w:tcPr>
            <w:tcW w:w="5386" w:type="dxa"/>
            <w:vAlign w:val="center"/>
          </w:tcPr>
          <w:p>
            <w:pPr>
              <w:pStyle w:val="12"/>
            </w:pPr>
            <w:r>
              <w:t>反映调查的完成是否有助于提高统计数据质量的情况</w:t>
            </w:r>
          </w:p>
        </w:tc>
        <w:tc>
          <w:tcPr>
            <w:tcW w:w="2268" w:type="dxa"/>
            <w:vAlign w:val="center"/>
          </w:tcPr>
          <w:p>
            <w:pPr>
              <w:pStyle w:val="12"/>
            </w:pPr>
            <w:r>
              <w:t>提高质量</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印刷使用人对印刷品的满意程度</w:t>
            </w:r>
          </w:p>
        </w:tc>
        <w:tc>
          <w:tcPr>
            <w:tcW w:w="2268" w:type="dxa"/>
            <w:vAlign w:val="center"/>
          </w:tcPr>
          <w:p>
            <w:pPr>
              <w:pStyle w:val="12"/>
            </w:pPr>
            <w:r>
              <w:t>≥95%</w:t>
            </w:r>
          </w:p>
        </w:tc>
        <w:tc>
          <w:tcPr>
            <w:tcW w:w="1276" w:type="dxa"/>
            <w:vAlign w:val="center"/>
          </w:tcPr>
          <w:p>
            <w:pPr>
              <w:pStyle w:val="12"/>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9、2025五经普资料印刷费绩效目标表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13011025P00321510044B</w:t>
            </w:r>
          </w:p>
        </w:tc>
        <w:tc>
          <w:tcPr>
            <w:tcW w:w="2835" w:type="dxa"/>
            <w:vAlign w:val="center"/>
          </w:tcPr>
          <w:p>
            <w:pPr>
              <w:pStyle w:val="10"/>
            </w:pPr>
            <w:r>
              <w:t>项目名称</w:t>
            </w:r>
          </w:p>
        </w:tc>
        <w:tc>
          <w:tcPr>
            <w:tcW w:w="6095" w:type="dxa"/>
            <w:gridSpan w:val="3"/>
            <w:vAlign w:val="center"/>
          </w:tcPr>
          <w:p>
            <w:pPr>
              <w:pStyle w:val="12"/>
            </w:pPr>
            <w:r>
              <w:t>2025五经普资料印刷费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9.90</w:t>
            </w:r>
          </w:p>
        </w:tc>
        <w:tc>
          <w:tcPr>
            <w:tcW w:w="2835" w:type="dxa"/>
            <w:vAlign w:val="center"/>
          </w:tcPr>
          <w:p>
            <w:pPr>
              <w:pStyle w:val="10"/>
            </w:pPr>
            <w:r>
              <w:t>其中：财政    资金</w:t>
            </w:r>
          </w:p>
        </w:tc>
        <w:tc>
          <w:tcPr>
            <w:tcW w:w="2551" w:type="dxa"/>
            <w:vAlign w:val="center"/>
          </w:tcPr>
          <w:p>
            <w:pPr>
              <w:pStyle w:val="12"/>
            </w:pPr>
            <w:r>
              <w:t>9.90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资金主要用于五经普资料印刷费的支出。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1.完成第五次全国经济普查印刷资料，包括普查数据资料汇编上下两册400套；《2023年鹿泉经济发展报告》300本；表彰乡村牌匾、证书等。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五经普资料印刷数量</w:t>
            </w:r>
          </w:p>
        </w:tc>
        <w:tc>
          <w:tcPr>
            <w:tcW w:w="5386" w:type="dxa"/>
            <w:vAlign w:val="center"/>
          </w:tcPr>
          <w:p>
            <w:pPr>
              <w:pStyle w:val="12"/>
            </w:pPr>
            <w:r>
              <w:t>普查数据资料汇编印刷套数</w:t>
            </w:r>
          </w:p>
        </w:tc>
        <w:tc>
          <w:tcPr>
            <w:tcW w:w="2268" w:type="dxa"/>
            <w:vAlign w:val="center"/>
          </w:tcPr>
          <w:p>
            <w:pPr>
              <w:pStyle w:val="12"/>
            </w:pPr>
            <w:r>
              <w:t>≥400套</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五经普资料印刷数量</w:t>
            </w:r>
          </w:p>
        </w:tc>
        <w:tc>
          <w:tcPr>
            <w:tcW w:w="5386" w:type="dxa"/>
            <w:vAlign w:val="center"/>
          </w:tcPr>
          <w:p>
            <w:pPr>
              <w:pStyle w:val="12"/>
            </w:pPr>
            <w:r>
              <w:t>2023年鹿泉经济发展报告印刷本数</w:t>
            </w:r>
          </w:p>
        </w:tc>
        <w:tc>
          <w:tcPr>
            <w:tcW w:w="2268" w:type="dxa"/>
            <w:vAlign w:val="center"/>
          </w:tcPr>
          <w:p>
            <w:pPr>
              <w:pStyle w:val="12"/>
            </w:pPr>
            <w:r>
              <w:t>≥300本</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印刷误差率</w:t>
            </w:r>
          </w:p>
        </w:tc>
        <w:tc>
          <w:tcPr>
            <w:tcW w:w="5386" w:type="dxa"/>
            <w:vAlign w:val="center"/>
          </w:tcPr>
          <w:p>
            <w:pPr>
              <w:pStyle w:val="12"/>
            </w:pPr>
            <w:r>
              <w:t>印刷资料的误差比率</w:t>
            </w:r>
          </w:p>
        </w:tc>
        <w:tc>
          <w:tcPr>
            <w:tcW w:w="2268" w:type="dxa"/>
            <w:vAlign w:val="center"/>
          </w:tcPr>
          <w:p>
            <w:pPr>
              <w:pStyle w:val="12"/>
            </w:pPr>
            <w:r>
              <w:t>≤5%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印刷资料的按时完成比率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印刷资料成本</w:t>
            </w:r>
          </w:p>
        </w:tc>
        <w:tc>
          <w:tcPr>
            <w:tcW w:w="5386" w:type="dxa"/>
            <w:vAlign w:val="center"/>
          </w:tcPr>
          <w:p>
            <w:pPr>
              <w:pStyle w:val="12"/>
            </w:pPr>
            <w:r>
              <w:t>印刷五经普资料的成本数</w:t>
            </w:r>
          </w:p>
        </w:tc>
        <w:tc>
          <w:tcPr>
            <w:tcW w:w="2268" w:type="dxa"/>
            <w:vAlign w:val="center"/>
          </w:tcPr>
          <w:p>
            <w:pPr>
              <w:pStyle w:val="12"/>
            </w:pPr>
            <w:r>
              <w:t>9.9万元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能够长期较好地开展经济普查工作，有效提高普查数据质量</w:t>
            </w:r>
          </w:p>
        </w:tc>
        <w:tc>
          <w:tcPr>
            <w:tcW w:w="2268" w:type="dxa"/>
            <w:vAlign w:val="center"/>
          </w:tcPr>
          <w:p>
            <w:pPr>
              <w:pStyle w:val="12"/>
            </w:pPr>
            <w:r>
              <w:t>有效提高普查数据质量</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印刷使用人对印刷品质满意度</w:t>
            </w:r>
          </w:p>
        </w:tc>
        <w:tc>
          <w:tcPr>
            <w:tcW w:w="2268" w:type="dxa"/>
            <w:vAlign w:val="center"/>
          </w:tcPr>
          <w:p>
            <w:pPr>
              <w:pStyle w:val="12"/>
            </w:pPr>
            <w:r>
              <w:t>≥95%</w:t>
            </w:r>
          </w:p>
        </w:tc>
        <w:tc>
          <w:tcPr>
            <w:tcW w:w="1276" w:type="dxa"/>
            <w:vAlign w:val="center"/>
          </w:tcPr>
          <w:p>
            <w:pPr>
              <w:pStyle w:val="12"/>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10、2025县乡网络视频费绩效目标表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13011025P00321510037A</w:t>
            </w:r>
          </w:p>
        </w:tc>
        <w:tc>
          <w:tcPr>
            <w:tcW w:w="2835" w:type="dxa"/>
            <w:vAlign w:val="center"/>
          </w:tcPr>
          <w:p>
            <w:pPr>
              <w:pStyle w:val="10"/>
            </w:pPr>
            <w:r>
              <w:t>项目名称</w:t>
            </w:r>
          </w:p>
        </w:tc>
        <w:tc>
          <w:tcPr>
            <w:tcW w:w="6095" w:type="dxa"/>
            <w:gridSpan w:val="3"/>
            <w:vAlign w:val="center"/>
          </w:tcPr>
          <w:p>
            <w:pPr>
              <w:pStyle w:val="12"/>
            </w:pPr>
            <w:r>
              <w:t>2025县乡网络视频费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资金主要用于县乡网络视频费用的支出。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1.连接13个乡镇和区统计局，保持网络畅通，各企业能及时完成报表，各乡镇统计员能在线查询企业报表情况，能正常召开视频会议。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连接乡镇数量</w:t>
            </w:r>
          </w:p>
        </w:tc>
        <w:tc>
          <w:tcPr>
            <w:tcW w:w="5386" w:type="dxa"/>
            <w:vAlign w:val="center"/>
          </w:tcPr>
          <w:p>
            <w:pPr>
              <w:pStyle w:val="12"/>
            </w:pPr>
            <w:r>
              <w:t>统计网络系统连接乡镇数量</w:t>
            </w:r>
          </w:p>
        </w:tc>
        <w:tc>
          <w:tcPr>
            <w:tcW w:w="2268" w:type="dxa"/>
            <w:vAlign w:val="center"/>
          </w:tcPr>
          <w:p>
            <w:pPr>
              <w:pStyle w:val="12"/>
            </w:pPr>
            <w:r>
              <w:t>13个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信息系统故障发生率</w:t>
            </w:r>
          </w:p>
        </w:tc>
        <w:tc>
          <w:tcPr>
            <w:tcW w:w="5386" w:type="dxa"/>
            <w:vAlign w:val="center"/>
          </w:tcPr>
          <w:p>
            <w:pPr>
              <w:pStyle w:val="12"/>
            </w:pPr>
            <w:r>
              <w:t>信息系统故障发生率</w:t>
            </w:r>
          </w:p>
        </w:tc>
        <w:tc>
          <w:tcPr>
            <w:tcW w:w="2268" w:type="dxa"/>
            <w:vAlign w:val="center"/>
          </w:tcPr>
          <w:p>
            <w:pPr>
              <w:pStyle w:val="12"/>
            </w:pPr>
            <w:r>
              <w:t>≤10%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报表上报及时率</w:t>
            </w:r>
          </w:p>
        </w:tc>
        <w:tc>
          <w:tcPr>
            <w:tcW w:w="5386" w:type="dxa"/>
            <w:vAlign w:val="center"/>
          </w:tcPr>
          <w:p>
            <w:pPr>
              <w:pStyle w:val="12"/>
            </w:pPr>
            <w:r>
              <w:t>报表上报及时率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租赁费、服务费</w:t>
            </w:r>
          </w:p>
        </w:tc>
        <w:tc>
          <w:tcPr>
            <w:tcW w:w="5386" w:type="dxa"/>
            <w:vAlign w:val="center"/>
          </w:tcPr>
          <w:p>
            <w:pPr>
              <w:pStyle w:val="12"/>
            </w:pPr>
            <w:r>
              <w:t>光纤、视频会议系统租赁费、联网服务费</w:t>
            </w:r>
          </w:p>
        </w:tc>
        <w:tc>
          <w:tcPr>
            <w:tcW w:w="2268" w:type="dxa"/>
            <w:vAlign w:val="center"/>
          </w:tcPr>
          <w:p>
            <w:pPr>
              <w:pStyle w:val="12"/>
            </w:pPr>
            <w:r>
              <w:t>26万元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能够长期较好地开展一套表工作</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统计调查达标率</w:t>
            </w:r>
          </w:p>
        </w:tc>
        <w:tc>
          <w:tcPr>
            <w:tcW w:w="5386" w:type="dxa"/>
            <w:vAlign w:val="center"/>
          </w:tcPr>
          <w:p>
            <w:pPr>
              <w:pStyle w:val="12"/>
            </w:pPr>
            <w:r>
              <w:t>各项统计调查达到制度要求比率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使用该光纤网的统计员对网络服务满意度</w:t>
            </w:r>
          </w:p>
        </w:tc>
        <w:tc>
          <w:tcPr>
            <w:tcW w:w="2268" w:type="dxa"/>
            <w:vAlign w:val="center"/>
          </w:tcPr>
          <w:p>
            <w:pPr>
              <w:pStyle w:val="12"/>
            </w:pPr>
            <w:r>
              <w:t>≥90%</w:t>
            </w:r>
          </w:p>
        </w:tc>
        <w:tc>
          <w:tcPr>
            <w:tcW w:w="1276" w:type="dxa"/>
            <w:vAlign w:val="center"/>
          </w:tcPr>
          <w:p>
            <w:pPr>
              <w:pStyle w:val="12"/>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11、2025月度劳动力调查经费绩效目标表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13011025P00321510041G</w:t>
            </w:r>
          </w:p>
        </w:tc>
        <w:tc>
          <w:tcPr>
            <w:tcW w:w="2835" w:type="dxa"/>
            <w:vAlign w:val="center"/>
          </w:tcPr>
          <w:p>
            <w:pPr>
              <w:pStyle w:val="10"/>
            </w:pPr>
            <w:r>
              <w:t>项目名称</w:t>
            </w:r>
          </w:p>
        </w:tc>
        <w:tc>
          <w:tcPr>
            <w:tcW w:w="6095" w:type="dxa"/>
            <w:gridSpan w:val="3"/>
            <w:vAlign w:val="center"/>
          </w:tcPr>
          <w:p>
            <w:pPr>
              <w:pStyle w:val="12"/>
            </w:pPr>
            <w:r>
              <w:t>2025月度劳动力调查经费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资金主要用于月度劳动力调查经费的支出。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1.根据统计制度要求，抽取5个社区（村），对80户住户开展月度城镇失业率调查，以满足国家统计核算需要。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调查户数</w:t>
            </w:r>
          </w:p>
        </w:tc>
        <w:tc>
          <w:tcPr>
            <w:tcW w:w="5386" w:type="dxa"/>
            <w:vAlign w:val="center"/>
          </w:tcPr>
          <w:p>
            <w:pPr>
              <w:pStyle w:val="12"/>
            </w:pPr>
            <w:r>
              <w:t>调查户数</w:t>
            </w:r>
          </w:p>
        </w:tc>
        <w:tc>
          <w:tcPr>
            <w:tcW w:w="2268" w:type="dxa"/>
            <w:vAlign w:val="center"/>
          </w:tcPr>
          <w:p>
            <w:pPr>
              <w:pStyle w:val="12"/>
            </w:pPr>
            <w:r>
              <w:t>80户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调查成本</w:t>
            </w:r>
          </w:p>
        </w:tc>
        <w:tc>
          <w:tcPr>
            <w:tcW w:w="5386" w:type="dxa"/>
            <w:vAlign w:val="center"/>
          </w:tcPr>
          <w:p>
            <w:pPr>
              <w:pStyle w:val="12"/>
            </w:pPr>
            <w:r>
              <w:t>调查成本</w:t>
            </w:r>
          </w:p>
        </w:tc>
        <w:tc>
          <w:tcPr>
            <w:tcW w:w="2268" w:type="dxa"/>
            <w:vAlign w:val="center"/>
          </w:tcPr>
          <w:p>
            <w:pPr>
              <w:pStyle w:val="12"/>
            </w:pPr>
            <w:r>
              <w:t>12.48万元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报表误差率</w:t>
            </w:r>
          </w:p>
        </w:tc>
        <w:tc>
          <w:tcPr>
            <w:tcW w:w="5386" w:type="dxa"/>
            <w:vAlign w:val="center"/>
          </w:tcPr>
          <w:p>
            <w:pPr>
              <w:pStyle w:val="12"/>
            </w:pPr>
            <w:r>
              <w:t>错误数据占全部上报数据的比率</w:t>
            </w:r>
          </w:p>
        </w:tc>
        <w:tc>
          <w:tcPr>
            <w:tcW w:w="2268" w:type="dxa"/>
            <w:vAlign w:val="center"/>
          </w:tcPr>
          <w:p>
            <w:pPr>
              <w:pStyle w:val="12"/>
            </w:pPr>
            <w:r>
              <w:t>≤5%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按时上报率</w:t>
            </w:r>
          </w:p>
        </w:tc>
        <w:tc>
          <w:tcPr>
            <w:tcW w:w="5386" w:type="dxa"/>
            <w:vAlign w:val="center"/>
          </w:tcPr>
          <w:p>
            <w:pPr>
              <w:pStyle w:val="12"/>
            </w:pPr>
            <w:r>
              <w:t>按时上报报表占全部报表的比率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能够长期较好地开展统计调查工作</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调查达到统计制度要求的比率</w:t>
            </w:r>
          </w:p>
        </w:tc>
        <w:tc>
          <w:tcPr>
            <w:tcW w:w="5386" w:type="dxa"/>
            <w:vAlign w:val="center"/>
          </w:tcPr>
          <w:p>
            <w:pPr>
              <w:pStyle w:val="12"/>
            </w:pPr>
            <w:r>
              <w:t>调查达到统计制度要求的比率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社会对该项统计调查的满意度</w:t>
            </w:r>
          </w:p>
        </w:tc>
        <w:tc>
          <w:tcPr>
            <w:tcW w:w="5386" w:type="dxa"/>
            <w:vAlign w:val="center"/>
          </w:tcPr>
          <w:p>
            <w:pPr>
              <w:pStyle w:val="12"/>
            </w:pPr>
            <w:r>
              <w:t>民众、政府部门对该项调查的满意度</w:t>
            </w:r>
          </w:p>
        </w:tc>
        <w:tc>
          <w:tcPr>
            <w:tcW w:w="2268" w:type="dxa"/>
            <w:vAlign w:val="center"/>
          </w:tcPr>
          <w:p>
            <w:pPr>
              <w:pStyle w:val="12"/>
            </w:pPr>
            <w:r>
              <w:t>≥90%</w:t>
            </w:r>
          </w:p>
        </w:tc>
        <w:tc>
          <w:tcPr>
            <w:tcW w:w="1276" w:type="dxa"/>
            <w:vAlign w:val="center"/>
          </w:tcPr>
          <w:p>
            <w:pPr>
              <w:pStyle w:val="12"/>
            </w:pPr>
            <w:r>
              <w:t>工作经验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25.75</w:t>
            </w:r>
          </w:p>
        </w:tc>
        <w:tc>
          <w:tcPr>
            <w:tcW w:w="964" w:type="dxa"/>
            <w:vAlign w:val="center"/>
          </w:tcPr>
          <w:p>
            <w:pPr>
              <w:pStyle w:val="15"/>
            </w:pPr>
            <w:r>
              <w:t>25.75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25.75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石家庄市鹿泉区统计局本级小计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25.75</w:t>
            </w:r>
          </w:p>
        </w:tc>
        <w:tc>
          <w:tcPr>
            <w:tcW w:w="964" w:type="dxa"/>
            <w:vAlign w:val="center"/>
          </w:tcPr>
          <w:p>
            <w:pPr>
              <w:pStyle w:val="15"/>
            </w:pPr>
            <w:r>
              <w:t>25.75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25.75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132.08</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0.25</w:t>
            </w:r>
          </w:p>
        </w:tc>
        <w:tc>
          <w:tcPr>
            <w:tcW w:w="964" w:type="dxa"/>
            <w:vAlign w:val="center"/>
          </w:tcPr>
          <w:p>
            <w:pPr>
              <w:pStyle w:val="11"/>
            </w:pPr>
            <w:r>
              <w:t>0.25</w:t>
            </w:r>
          </w:p>
        </w:tc>
        <w:tc>
          <w:tcPr>
            <w:tcW w:w="964" w:type="dxa"/>
            <w:vAlign w:val="center"/>
          </w:tcPr>
          <w:p>
            <w:pPr>
              <w:pStyle w:val="11"/>
            </w:pPr>
            <w:r>
              <w:t>0.25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132.08</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132.08</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0.45</w:t>
            </w:r>
          </w:p>
        </w:tc>
        <w:tc>
          <w:tcPr>
            <w:tcW w:w="964" w:type="dxa"/>
            <w:vAlign w:val="center"/>
          </w:tcPr>
          <w:p>
            <w:pPr>
              <w:pStyle w:val="11"/>
            </w:pPr>
            <w:r>
              <w:t>0.45</w:t>
            </w:r>
          </w:p>
        </w:tc>
        <w:tc>
          <w:tcPr>
            <w:tcW w:w="964" w:type="dxa"/>
            <w:vAlign w:val="center"/>
          </w:tcPr>
          <w:p>
            <w:pPr>
              <w:pStyle w:val="11"/>
            </w:pPr>
            <w:r>
              <w:t>0.45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16.20</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0.25</w:t>
            </w:r>
          </w:p>
        </w:tc>
        <w:tc>
          <w:tcPr>
            <w:tcW w:w="964" w:type="dxa"/>
            <w:vAlign w:val="center"/>
          </w:tcPr>
          <w:p>
            <w:pPr>
              <w:pStyle w:val="11"/>
            </w:pPr>
            <w:r>
              <w:t>0.25</w:t>
            </w:r>
          </w:p>
        </w:tc>
        <w:tc>
          <w:tcPr>
            <w:tcW w:w="964" w:type="dxa"/>
            <w:vAlign w:val="center"/>
          </w:tcPr>
          <w:p>
            <w:pPr>
              <w:pStyle w:val="11"/>
            </w:pPr>
            <w:r>
              <w:t>0.25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16.20</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16.20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480</w:t>
            </w:r>
          </w:p>
        </w:tc>
        <w:tc>
          <w:tcPr>
            <w:tcW w:w="850" w:type="dxa"/>
            <w:vAlign w:val="center"/>
          </w:tcPr>
          <w:p>
            <w:pPr>
              <w:pStyle w:val="11"/>
            </w:pPr>
            <w:r>
              <w:t>0.00</w:t>
            </w:r>
          </w:p>
        </w:tc>
        <w:tc>
          <w:tcPr>
            <w:tcW w:w="964" w:type="dxa"/>
            <w:vAlign w:val="center"/>
          </w:tcPr>
          <w:p>
            <w:pPr>
              <w:pStyle w:val="11"/>
            </w:pPr>
            <w:r>
              <w:t>1.10</w:t>
            </w:r>
          </w:p>
        </w:tc>
        <w:tc>
          <w:tcPr>
            <w:tcW w:w="964" w:type="dxa"/>
            <w:vAlign w:val="center"/>
          </w:tcPr>
          <w:p>
            <w:pPr>
              <w:pStyle w:val="11"/>
            </w:pPr>
            <w:r>
              <w:t>1.10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16.20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件</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2025年1%人口抽样调查</w:t>
            </w:r>
          </w:p>
        </w:tc>
        <w:tc>
          <w:tcPr>
            <w:tcW w:w="964" w:type="dxa"/>
            <w:vAlign w:val="center"/>
          </w:tcPr>
          <w:p>
            <w:pPr>
              <w:pStyle w:val="11"/>
            </w:pPr>
            <w:r>
              <w:t>20.00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4.00</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2025统计调查、统计培训经费</w:t>
            </w:r>
          </w:p>
        </w:tc>
        <w:tc>
          <w:tcPr>
            <w:tcW w:w="964" w:type="dxa"/>
            <w:vAlign w:val="center"/>
          </w:tcPr>
          <w:p>
            <w:pPr>
              <w:pStyle w:val="11"/>
            </w:pPr>
            <w:r>
              <w:t>10.00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3.50</w:t>
            </w:r>
          </w:p>
        </w:tc>
        <w:tc>
          <w:tcPr>
            <w:tcW w:w="964" w:type="dxa"/>
            <w:vAlign w:val="center"/>
          </w:tcPr>
          <w:p>
            <w:pPr>
              <w:pStyle w:val="11"/>
            </w:pPr>
            <w:r>
              <w:t>3.50</w:t>
            </w:r>
          </w:p>
        </w:tc>
        <w:tc>
          <w:tcPr>
            <w:tcW w:w="964" w:type="dxa"/>
            <w:vAlign w:val="center"/>
          </w:tcPr>
          <w:p>
            <w:pPr>
              <w:pStyle w:val="11"/>
            </w:pPr>
            <w:r>
              <w:t>3.50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2025投入产出资料汇编</w:t>
            </w:r>
          </w:p>
        </w:tc>
        <w:tc>
          <w:tcPr>
            <w:tcW w:w="964" w:type="dxa"/>
            <w:vAlign w:val="center"/>
          </w:tcPr>
          <w:p>
            <w:pPr>
              <w:pStyle w:val="11"/>
            </w:pPr>
            <w:r>
              <w:t>3.00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2025五经普资料印刷费</w:t>
            </w:r>
          </w:p>
        </w:tc>
        <w:tc>
          <w:tcPr>
            <w:tcW w:w="964" w:type="dxa"/>
            <w:vAlign w:val="center"/>
          </w:tcPr>
          <w:p>
            <w:pPr>
              <w:pStyle w:val="11"/>
            </w:pPr>
            <w:r>
              <w:t>9.90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9.90</w:t>
            </w:r>
          </w:p>
        </w:tc>
        <w:tc>
          <w:tcPr>
            <w:tcW w:w="964" w:type="dxa"/>
            <w:vAlign w:val="center"/>
          </w:tcPr>
          <w:p>
            <w:pPr>
              <w:pStyle w:val="11"/>
            </w:pPr>
            <w:r>
              <w:t>9.90</w:t>
            </w:r>
          </w:p>
        </w:tc>
        <w:tc>
          <w:tcPr>
            <w:tcW w:w="964" w:type="dxa"/>
            <w:vAlign w:val="center"/>
          </w:tcPr>
          <w:p>
            <w:pPr>
              <w:pStyle w:val="11"/>
            </w:pPr>
            <w:r>
              <w:t>9.90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9.90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石家庄市鹿泉区统计局本级上年末固定资产金额为133.22万元（详见下表）。本年度拟购置固定资产总额为0.55万元，已按要求列入政府采购预算，详见政府采购预算表。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410001石家庄市鹿泉区统计局本级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133.22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11.90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710</w:t>
            </w:r>
          </w:p>
        </w:tc>
        <w:tc>
          <w:tcPr>
            <w:tcW w:w="2835" w:type="dxa"/>
            <w:vAlign w:val="center"/>
          </w:tcPr>
          <w:p>
            <w:pPr>
              <w:pStyle w:val="11"/>
            </w:pPr>
            <w:r>
              <w:t>121.32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49A2E5A"/>
    <w:rsid w:val="16EF589C"/>
    <w:rsid w:val="32200849"/>
    <w:rsid w:val="3F224CF8"/>
    <w:rsid w:val="415C3A6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TotalTime>11</TotalTime>
  <ScaleCrop>false</ScaleCrop>
  <LinksUpToDate>false</LinksUpToDate>
  <Application>WPS Office_11.8.2.11734_F1E327BC-269C-435d-A152-05C5408002CA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2025-02-11T10:22:00Z</dcterms:created>
  <dc:creator>Administrator</dc:creator>
  <cp:lastModifiedBy>Administrator</cp:lastModifiedBy>
  <dcterms:modified xsi:type="dcterms:W3CDTF">2025-02-12T02:01:59Z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2052-11.8.2.11734</vt:lpwstr>
  </property>
  <property fmtid="{D5CDD505-2E9C-101B-9397-08002B2CF9AE}" pid="3" name="ICV">
    <vt:lpwstr>3BA757A09CC24B029E93B1D8D8D205D4</vt:lpwstr>
  </property>
</Properties>
</file>