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23</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24</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41</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41</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42</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43</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202中共石家庄市鹿泉区委办公室</w:t>
            </w:r>
          </w:p>
        </w:tc>
        <w:tc>
          <w:tcPr>
            <w:tcW w:w="2126" w:type="dxa"/>
            <w:tcBorders>
              <w:top w:val="single" w:color="FFFFFF" w:sz="6" w:space="0"/>
              <w:left w:val="single" w:color="FFFFFF" w:sz="6" w:space="0"/>
              <w:right w:val="single" w:color="FFFFFF" w:sz="6" w:space="0"/>
            </w:tcBorders>
            <w:vAlign w:val="center"/>
          </w:tcPr>
          <w:p>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1020.62</w:t>
            </w:r>
          </w:p>
        </w:tc>
        <w:tc>
          <w:tcPr>
            <w:tcW w:w="4535" w:type="dxa"/>
            <w:vAlign w:val="center"/>
          </w:tcPr>
          <w:p>
            <w:pPr>
              <w:pStyle w:val="13"/>
            </w:pPr>
            <w:r>
              <w:t>一、一般公共服务支出</w:t>
            </w:r>
          </w:p>
        </w:tc>
        <w:tc>
          <w:tcPr>
            <w:tcW w:w="2126" w:type="dxa"/>
            <w:vAlign w:val="center"/>
          </w:tcPr>
          <w:p>
            <w:pPr>
              <w:pStyle w:val="12"/>
            </w:pPr>
            <w:r>
              <w:t>840.63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85.14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40.65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54.20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1020.62</w:t>
            </w:r>
          </w:p>
        </w:tc>
        <w:tc>
          <w:tcPr>
            <w:tcW w:w="4535" w:type="dxa"/>
            <w:vAlign w:val="center"/>
          </w:tcPr>
          <w:p>
            <w:pPr>
              <w:pStyle w:val="15"/>
            </w:pPr>
            <w:r>
              <w:t>本年支出合计</w:t>
            </w:r>
          </w:p>
        </w:tc>
        <w:tc>
          <w:tcPr>
            <w:tcW w:w="2126" w:type="dxa"/>
            <w:vAlign w:val="center"/>
          </w:tcPr>
          <w:p>
            <w:pPr>
              <w:pStyle w:val="16"/>
            </w:pPr>
            <w:r>
              <w:t>1020.62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1020.62</w:t>
            </w:r>
          </w:p>
        </w:tc>
        <w:tc>
          <w:tcPr>
            <w:tcW w:w="4535" w:type="dxa"/>
            <w:vAlign w:val="center"/>
          </w:tcPr>
          <w:p>
            <w:pPr>
              <w:pStyle w:val="15"/>
            </w:pPr>
            <w:r>
              <w:t>支出总计</w:t>
            </w:r>
          </w:p>
        </w:tc>
        <w:tc>
          <w:tcPr>
            <w:tcW w:w="2126" w:type="dxa"/>
            <w:vAlign w:val="center"/>
          </w:tcPr>
          <w:p>
            <w:pPr>
              <w:pStyle w:val="16"/>
            </w:pPr>
            <w:r>
              <w:t>1020.62</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202中共石家庄市鹿泉区委办公室</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1020.62</w:t>
            </w:r>
          </w:p>
        </w:tc>
        <w:tc>
          <w:tcPr>
            <w:tcW w:w="1134" w:type="dxa"/>
            <w:vAlign w:val="center"/>
          </w:tcPr>
          <w:p>
            <w:pPr>
              <w:pStyle w:val="16"/>
            </w:pPr>
            <w:r>
              <w:t>1020.62</w:t>
            </w:r>
          </w:p>
        </w:tc>
        <w:tc>
          <w:tcPr>
            <w:tcW w:w="1134" w:type="dxa"/>
            <w:vAlign w:val="center"/>
          </w:tcPr>
          <w:p>
            <w:pPr>
              <w:pStyle w:val="16"/>
            </w:pPr>
            <w:r>
              <w:t>1020.62</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840.63</w:t>
            </w:r>
          </w:p>
        </w:tc>
        <w:tc>
          <w:tcPr>
            <w:tcW w:w="1134" w:type="dxa"/>
            <w:vAlign w:val="center"/>
          </w:tcPr>
          <w:p>
            <w:pPr>
              <w:pStyle w:val="12"/>
            </w:pPr>
            <w:r>
              <w:t>840.63</w:t>
            </w:r>
          </w:p>
        </w:tc>
        <w:tc>
          <w:tcPr>
            <w:tcW w:w="1134" w:type="dxa"/>
            <w:vAlign w:val="center"/>
          </w:tcPr>
          <w:p>
            <w:pPr>
              <w:pStyle w:val="12"/>
            </w:pPr>
            <w:r>
              <w:t>840.63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20131</w:t>
            </w:r>
          </w:p>
        </w:tc>
        <w:tc>
          <w:tcPr>
            <w:tcW w:w="1559" w:type="dxa"/>
            <w:vAlign w:val="center"/>
          </w:tcPr>
          <w:p>
            <w:pPr>
              <w:pStyle w:val="13"/>
            </w:pPr>
            <w:r>
              <w:t>党委办公厅（室）及相关机构事务</w:t>
            </w:r>
          </w:p>
        </w:tc>
        <w:tc>
          <w:tcPr>
            <w:tcW w:w="1134" w:type="dxa"/>
            <w:vAlign w:val="center"/>
          </w:tcPr>
          <w:p>
            <w:pPr>
              <w:pStyle w:val="12"/>
            </w:pPr>
            <w:r>
              <w:t>840.63</w:t>
            </w:r>
          </w:p>
        </w:tc>
        <w:tc>
          <w:tcPr>
            <w:tcW w:w="1134" w:type="dxa"/>
            <w:vAlign w:val="center"/>
          </w:tcPr>
          <w:p>
            <w:pPr>
              <w:pStyle w:val="12"/>
            </w:pPr>
            <w:r>
              <w:t>840.63</w:t>
            </w:r>
          </w:p>
        </w:tc>
        <w:tc>
          <w:tcPr>
            <w:tcW w:w="1134" w:type="dxa"/>
            <w:vAlign w:val="center"/>
          </w:tcPr>
          <w:p>
            <w:pPr>
              <w:pStyle w:val="12"/>
            </w:pPr>
            <w:r>
              <w:t>840.63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2013101</w:t>
            </w:r>
          </w:p>
        </w:tc>
        <w:tc>
          <w:tcPr>
            <w:tcW w:w="1559" w:type="dxa"/>
            <w:vAlign w:val="center"/>
          </w:tcPr>
          <w:p>
            <w:pPr>
              <w:pStyle w:val="13"/>
            </w:pPr>
            <w:r>
              <w:t>行政运行</w:t>
            </w:r>
          </w:p>
        </w:tc>
        <w:tc>
          <w:tcPr>
            <w:tcW w:w="1134" w:type="dxa"/>
            <w:vAlign w:val="center"/>
          </w:tcPr>
          <w:p>
            <w:pPr>
              <w:pStyle w:val="12"/>
            </w:pPr>
            <w:r>
              <w:t>561.93</w:t>
            </w:r>
          </w:p>
        </w:tc>
        <w:tc>
          <w:tcPr>
            <w:tcW w:w="1134" w:type="dxa"/>
            <w:vAlign w:val="center"/>
          </w:tcPr>
          <w:p>
            <w:pPr>
              <w:pStyle w:val="12"/>
            </w:pPr>
            <w:r>
              <w:t>561.93</w:t>
            </w:r>
          </w:p>
        </w:tc>
        <w:tc>
          <w:tcPr>
            <w:tcW w:w="1134" w:type="dxa"/>
            <w:vAlign w:val="center"/>
          </w:tcPr>
          <w:p>
            <w:pPr>
              <w:pStyle w:val="12"/>
            </w:pPr>
            <w:r>
              <w:t>561.93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2013102</w:t>
            </w:r>
          </w:p>
        </w:tc>
        <w:tc>
          <w:tcPr>
            <w:tcW w:w="1559" w:type="dxa"/>
            <w:vAlign w:val="center"/>
          </w:tcPr>
          <w:p>
            <w:pPr>
              <w:pStyle w:val="13"/>
            </w:pPr>
            <w:r>
              <w:t>一般行政管理事务</w:t>
            </w:r>
          </w:p>
        </w:tc>
        <w:tc>
          <w:tcPr>
            <w:tcW w:w="1134" w:type="dxa"/>
            <w:vAlign w:val="center"/>
          </w:tcPr>
          <w:p>
            <w:pPr>
              <w:pStyle w:val="12"/>
            </w:pPr>
            <w:r>
              <w:t>100.00</w:t>
            </w:r>
          </w:p>
        </w:tc>
        <w:tc>
          <w:tcPr>
            <w:tcW w:w="1134" w:type="dxa"/>
            <w:vAlign w:val="center"/>
          </w:tcPr>
          <w:p>
            <w:pPr>
              <w:pStyle w:val="12"/>
            </w:pPr>
            <w:r>
              <w:t>100.00</w:t>
            </w:r>
          </w:p>
        </w:tc>
        <w:tc>
          <w:tcPr>
            <w:tcW w:w="1134" w:type="dxa"/>
            <w:vAlign w:val="center"/>
          </w:tcPr>
          <w:p>
            <w:pPr>
              <w:pStyle w:val="12"/>
            </w:pPr>
            <w:r>
              <w:t>100.00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2013105</w:t>
            </w:r>
          </w:p>
        </w:tc>
        <w:tc>
          <w:tcPr>
            <w:tcW w:w="1559" w:type="dxa"/>
            <w:vAlign w:val="center"/>
          </w:tcPr>
          <w:p>
            <w:pPr>
              <w:pStyle w:val="13"/>
            </w:pPr>
            <w:r>
              <w:t>专项业务</w:t>
            </w:r>
          </w:p>
        </w:tc>
        <w:tc>
          <w:tcPr>
            <w:tcW w:w="1134" w:type="dxa"/>
            <w:vAlign w:val="center"/>
          </w:tcPr>
          <w:p>
            <w:pPr>
              <w:pStyle w:val="12"/>
            </w:pPr>
            <w:r>
              <w:t>178.70</w:t>
            </w:r>
          </w:p>
        </w:tc>
        <w:tc>
          <w:tcPr>
            <w:tcW w:w="1134" w:type="dxa"/>
            <w:vAlign w:val="center"/>
          </w:tcPr>
          <w:p>
            <w:pPr>
              <w:pStyle w:val="12"/>
            </w:pPr>
            <w:r>
              <w:t>178.70</w:t>
            </w:r>
          </w:p>
        </w:tc>
        <w:tc>
          <w:tcPr>
            <w:tcW w:w="1134" w:type="dxa"/>
            <w:vAlign w:val="center"/>
          </w:tcPr>
          <w:p>
            <w:pPr>
              <w:pStyle w:val="12"/>
            </w:pPr>
            <w:r>
              <w:t>178.70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85.14</w:t>
            </w:r>
          </w:p>
        </w:tc>
        <w:tc>
          <w:tcPr>
            <w:tcW w:w="1134" w:type="dxa"/>
            <w:vAlign w:val="center"/>
          </w:tcPr>
          <w:p>
            <w:pPr>
              <w:pStyle w:val="12"/>
            </w:pPr>
            <w:r>
              <w:t>85.14</w:t>
            </w:r>
          </w:p>
        </w:tc>
        <w:tc>
          <w:tcPr>
            <w:tcW w:w="1134" w:type="dxa"/>
            <w:vAlign w:val="center"/>
          </w:tcPr>
          <w:p>
            <w:pPr>
              <w:pStyle w:val="12"/>
            </w:pPr>
            <w:r>
              <w:t>85.14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85.14</w:t>
            </w:r>
          </w:p>
        </w:tc>
        <w:tc>
          <w:tcPr>
            <w:tcW w:w="1134" w:type="dxa"/>
            <w:vAlign w:val="center"/>
          </w:tcPr>
          <w:p>
            <w:pPr>
              <w:pStyle w:val="12"/>
            </w:pPr>
            <w:r>
              <w:t>85.14</w:t>
            </w:r>
          </w:p>
        </w:tc>
        <w:tc>
          <w:tcPr>
            <w:tcW w:w="1134" w:type="dxa"/>
            <w:vAlign w:val="center"/>
          </w:tcPr>
          <w:p>
            <w:pPr>
              <w:pStyle w:val="12"/>
            </w:pPr>
            <w:r>
              <w:t>85.14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30.05</w:t>
            </w:r>
          </w:p>
        </w:tc>
        <w:tc>
          <w:tcPr>
            <w:tcW w:w="1134" w:type="dxa"/>
            <w:vAlign w:val="center"/>
          </w:tcPr>
          <w:p>
            <w:pPr>
              <w:pStyle w:val="12"/>
            </w:pPr>
            <w:r>
              <w:t>30.05</w:t>
            </w:r>
          </w:p>
        </w:tc>
        <w:tc>
          <w:tcPr>
            <w:tcW w:w="1134" w:type="dxa"/>
            <w:vAlign w:val="center"/>
          </w:tcPr>
          <w:p>
            <w:pPr>
              <w:pStyle w:val="12"/>
            </w:pPr>
            <w:r>
              <w:t>30.05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55.09</w:t>
            </w:r>
          </w:p>
        </w:tc>
        <w:tc>
          <w:tcPr>
            <w:tcW w:w="1134" w:type="dxa"/>
            <w:vAlign w:val="center"/>
          </w:tcPr>
          <w:p>
            <w:pPr>
              <w:pStyle w:val="12"/>
            </w:pPr>
            <w:r>
              <w:t>55.09</w:t>
            </w:r>
          </w:p>
        </w:tc>
        <w:tc>
          <w:tcPr>
            <w:tcW w:w="1134" w:type="dxa"/>
            <w:vAlign w:val="center"/>
          </w:tcPr>
          <w:p>
            <w:pPr>
              <w:pStyle w:val="12"/>
            </w:pPr>
            <w:r>
              <w:t>55.09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40.65</w:t>
            </w:r>
          </w:p>
        </w:tc>
        <w:tc>
          <w:tcPr>
            <w:tcW w:w="1134" w:type="dxa"/>
            <w:vAlign w:val="center"/>
          </w:tcPr>
          <w:p>
            <w:pPr>
              <w:pStyle w:val="12"/>
            </w:pPr>
            <w:r>
              <w:t>40.65</w:t>
            </w:r>
          </w:p>
        </w:tc>
        <w:tc>
          <w:tcPr>
            <w:tcW w:w="1134" w:type="dxa"/>
            <w:vAlign w:val="center"/>
          </w:tcPr>
          <w:p>
            <w:pPr>
              <w:pStyle w:val="12"/>
            </w:pPr>
            <w:r>
              <w:t>40.65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40.65</w:t>
            </w:r>
          </w:p>
        </w:tc>
        <w:tc>
          <w:tcPr>
            <w:tcW w:w="1134" w:type="dxa"/>
            <w:vAlign w:val="center"/>
          </w:tcPr>
          <w:p>
            <w:pPr>
              <w:pStyle w:val="12"/>
            </w:pPr>
            <w:r>
              <w:t>40.65</w:t>
            </w:r>
          </w:p>
        </w:tc>
        <w:tc>
          <w:tcPr>
            <w:tcW w:w="1134" w:type="dxa"/>
            <w:vAlign w:val="center"/>
          </w:tcPr>
          <w:p>
            <w:pPr>
              <w:pStyle w:val="12"/>
            </w:pPr>
            <w:r>
              <w:t>40.65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40.65</w:t>
            </w:r>
          </w:p>
        </w:tc>
        <w:tc>
          <w:tcPr>
            <w:tcW w:w="1134" w:type="dxa"/>
            <w:vAlign w:val="center"/>
          </w:tcPr>
          <w:p>
            <w:pPr>
              <w:pStyle w:val="12"/>
            </w:pPr>
            <w:r>
              <w:t>40.65</w:t>
            </w:r>
          </w:p>
        </w:tc>
        <w:tc>
          <w:tcPr>
            <w:tcW w:w="1134" w:type="dxa"/>
            <w:vAlign w:val="center"/>
          </w:tcPr>
          <w:p>
            <w:pPr>
              <w:pStyle w:val="12"/>
            </w:pPr>
            <w:r>
              <w:t>40.65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54.20</w:t>
            </w:r>
          </w:p>
        </w:tc>
        <w:tc>
          <w:tcPr>
            <w:tcW w:w="1134" w:type="dxa"/>
            <w:vAlign w:val="center"/>
          </w:tcPr>
          <w:p>
            <w:pPr>
              <w:pStyle w:val="12"/>
            </w:pPr>
            <w:r>
              <w:t>54.20</w:t>
            </w:r>
          </w:p>
        </w:tc>
        <w:tc>
          <w:tcPr>
            <w:tcW w:w="1134" w:type="dxa"/>
            <w:vAlign w:val="center"/>
          </w:tcPr>
          <w:p>
            <w:pPr>
              <w:pStyle w:val="12"/>
            </w:pPr>
            <w:r>
              <w:t>54.20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54.20</w:t>
            </w:r>
          </w:p>
        </w:tc>
        <w:tc>
          <w:tcPr>
            <w:tcW w:w="1134" w:type="dxa"/>
            <w:vAlign w:val="center"/>
          </w:tcPr>
          <w:p>
            <w:pPr>
              <w:pStyle w:val="12"/>
            </w:pPr>
            <w:r>
              <w:t>54.20</w:t>
            </w:r>
          </w:p>
        </w:tc>
        <w:tc>
          <w:tcPr>
            <w:tcW w:w="1134" w:type="dxa"/>
            <w:vAlign w:val="center"/>
          </w:tcPr>
          <w:p>
            <w:pPr>
              <w:pStyle w:val="12"/>
            </w:pPr>
            <w:r>
              <w:t>54.20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54.20</w:t>
            </w:r>
          </w:p>
        </w:tc>
        <w:tc>
          <w:tcPr>
            <w:tcW w:w="1134" w:type="dxa"/>
            <w:vAlign w:val="center"/>
          </w:tcPr>
          <w:p>
            <w:pPr>
              <w:pStyle w:val="12"/>
            </w:pPr>
            <w:r>
              <w:t>54.20</w:t>
            </w:r>
          </w:p>
        </w:tc>
        <w:tc>
          <w:tcPr>
            <w:tcW w:w="1134" w:type="dxa"/>
            <w:vAlign w:val="center"/>
          </w:tcPr>
          <w:p>
            <w:pPr>
              <w:pStyle w:val="12"/>
            </w:pPr>
            <w:r>
              <w:t>54.20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202中共石家庄市鹿泉区委办公室</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1020.62</w:t>
            </w:r>
          </w:p>
        </w:tc>
        <w:tc>
          <w:tcPr>
            <w:tcW w:w="1361" w:type="dxa"/>
            <w:vAlign w:val="center"/>
          </w:tcPr>
          <w:p>
            <w:pPr>
              <w:pStyle w:val="16"/>
            </w:pPr>
            <w:r>
              <w:t>741.92</w:t>
            </w:r>
          </w:p>
        </w:tc>
        <w:tc>
          <w:tcPr>
            <w:tcW w:w="1361" w:type="dxa"/>
            <w:vAlign w:val="center"/>
          </w:tcPr>
          <w:p>
            <w:pPr>
              <w:pStyle w:val="16"/>
            </w:pPr>
            <w:r>
              <w:t>278.70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840.63</w:t>
            </w:r>
          </w:p>
        </w:tc>
        <w:tc>
          <w:tcPr>
            <w:tcW w:w="1361" w:type="dxa"/>
            <w:vAlign w:val="center"/>
          </w:tcPr>
          <w:p>
            <w:pPr>
              <w:pStyle w:val="12"/>
            </w:pPr>
            <w:r>
              <w:t>561.93</w:t>
            </w:r>
          </w:p>
        </w:tc>
        <w:tc>
          <w:tcPr>
            <w:tcW w:w="1361" w:type="dxa"/>
            <w:vAlign w:val="center"/>
          </w:tcPr>
          <w:p>
            <w:pPr>
              <w:pStyle w:val="12"/>
            </w:pPr>
            <w:r>
              <w:t>278.70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20131</w:t>
            </w:r>
          </w:p>
        </w:tc>
        <w:tc>
          <w:tcPr>
            <w:tcW w:w="4535" w:type="dxa"/>
            <w:vAlign w:val="center"/>
          </w:tcPr>
          <w:p>
            <w:pPr>
              <w:pStyle w:val="13"/>
            </w:pPr>
            <w:r>
              <w:t>党委办公厅（室）及相关机构事务</w:t>
            </w:r>
          </w:p>
        </w:tc>
        <w:tc>
          <w:tcPr>
            <w:tcW w:w="1361" w:type="dxa"/>
            <w:vAlign w:val="center"/>
          </w:tcPr>
          <w:p>
            <w:pPr>
              <w:pStyle w:val="12"/>
            </w:pPr>
            <w:r>
              <w:t>840.63</w:t>
            </w:r>
          </w:p>
        </w:tc>
        <w:tc>
          <w:tcPr>
            <w:tcW w:w="1361" w:type="dxa"/>
            <w:vAlign w:val="center"/>
          </w:tcPr>
          <w:p>
            <w:pPr>
              <w:pStyle w:val="12"/>
            </w:pPr>
            <w:r>
              <w:t>561.93</w:t>
            </w:r>
          </w:p>
        </w:tc>
        <w:tc>
          <w:tcPr>
            <w:tcW w:w="1361" w:type="dxa"/>
            <w:vAlign w:val="center"/>
          </w:tcPr>
          <w:p>
            <w:pPr>
              <w:pStyle w:val="12"/>
            </w:pPr>
            <w:r>
              <w:t>278.70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2013101</w:t>
            </w:r>
          </w:p>
        </w:tc>
        <w:tc>
          <w:tcPr>
            <w:tcW w:w="4535" w:type="dxa"/>
            <w:vAlign w:val="center"/>
          </w:tcPr>
          <w:p>
            <w:pPr>
              <w:pStyle w:val="13"/>
            </w:pPr>
            <w:r>
              <w:t>行政运行</w:t>
            </w:r>
          </w:p>
        </w:tc>
        <w:tc>
          <w:tcPr>
            <w:tcW w:w="1361" w:type="dxa"/>
            <w:vAlign w:val="center"/>
          </w:tcPr>
          <w:p>
            <w:pPr>
              <w:pStyle w:val="12"/>
            </w:pPr>
            <w:r>
              <w:t>561.93</w:t>
            </w:r>
          </w:p>
        </w:tc>
        <w:tc>
          <w:tcPr>
            <w:tcW w:w="1361" w:type="dxa"/>
            <w:vAlign w:val="center"/>
          </w:tcPr>
          <w:p>
            <w:pPr>
              <w:pStyle w:val="12"/>
            </w:pPr>
            <w:r>
              <w:t>561.93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2013102</w:t>
            </w:r>
          </w:p>
        </w:tc>
        <w:tc>
          <w:tcPr>
            <w:tcW w:w="4535" w:type="dxa"/>
            <w:vAlign w:val="center"/>
          </w:tcPr>
          <w:p>
            <w:pPr>
              <w:pStyle w:val="13"/>
            </w:pPr>
            <w:r>
              <w:t>一般行政管理事务</w:t>
            </w:r>
          </w:p>
        </w:tc>
        <w:tc>
          <w:tcPr>
            <w:tcW w:w="1361" w:type="dxa"/>
            <w:vAlign w:val="center"/>
          </w:tcPr>
          <w:p>
            <w:pPr>
              <w:pStyle w:val="12"/>
            </w:pPr>
            <w:r>
              <w:t>100.00</w:t>
            </w:r>
          </w:p>
        </w:tc>
        <w:tc>
          <w:tcPr>
            <w:tcW w:w="1361" w:type="dxa"/>
            <w:vAlign w:val="center"/>
          </w:tcPr>
          <w:p>
            <w:pPr>
              <w:pStyle w:val="12"/>
            </w:pPr>
          </w:p>
        </w:tc>
        <w:tc>
          <w:tcPr>
            <w:tcW w:w="1361" w:type="dxa"/>
            <w:vAlign w:val="center"/>
          </w:tcPr>
          <w:p>
            <w:pPr>
              <w:pStyle w:val="12"/>
            </w:pPr>
            <w:r>
              <w:t>100.00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2013105</w:t>
            </w:r>
          </w:p>
        </w:tc>
        <w:tc>
          <w:tcPr>
            <w:tcW w:w="4535" w:type="dxa"/>
            <w:vAlign w:val="center"/>
          </w:tcPr>
          <w:p>
            <w:pPr>
              <w:pStyle w:val="13"/>
            </w:pPr>
            <w:r>
              <w:t>专项业务</w:t>
            </w:r>
          </w:p>
        </w:tc>
        <w:tc>
          <w:tcPr>
            <w:tcW w:w="1361" w:type="dxa"/>
            <w:vAlign w:val="center"/>
          </w:tcPr>
          <w:p>
            <w:pPr>
              <w:pStyle w:val="12"/>
            </w:pPr>
            <w:r>
              <w:t>178.70</w:t>
            </w:r>
          </w:p>
        </w:tc>
        <w:tc>
          <w:tcPr>
            <w:tcW w:w="1361" w:type="dxa"/>
            <w:vAlign w:val="center"/>
          </w:tcPr>
          <w:p>
            <w:pPr>
              <w:pStyle w:val="12"/>
            </w:pPr>
          </w:p>
        </w:tc>
        <w:tc>
          <w:tcPr>
            <w:tcW w:w="1361" w:type="dxa"/>
            <w:vAlign w:val="center"/>
          </w:tcPr>
          <w:p>
            <w:pPr>
              <w:pStyle w:val="12"/>
            </w:pPr>
            <w:r>
              <w:t>178.70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85.14</w:t>
            </w:r>
          </w:p>
        </w:tc>
        <w:tc>
          <w:tcPr>
            <w:tcW w:w="1361" w:type="dxa"/>
            <w:vAlign w:val="center"/>
          </w:tcPr>
          <w:p>
            <w:pPr>
              <w:pStyle w:val="12"/>
            </w:pPr>
            <w:r>
              <w:t>85.14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85.14</w:t>
            </w:r>
          </w:p>
        </w:tc>
        <w:tc>
          <w:tcPr>
            <w:tcW w:w="1361" w:type="dxa"/>
            <w:vAlign w:val="center"/>
          </w:tcPr>
          <w:p>
            <w:pPr>
              <w:pStyle w:val="12"/>
            </w:pPr>
            <w:r>
              <w:t>85.14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30.05</w:t>
            </w:r>
          </w:p>
        </w:tc>
        <w:tc>
          <w:tcPr>
            <w:tcW w:w="1361" w:type="dxa"/>
            <w:vAlign w:val="center"/>
          </w:tcPr>
          <w:p>
            <w:pPr>
              <w:pStyle w:val="12"/>
            </w:pPr>
            <w:r>
              <w:t>30.05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55.09</w:t>
            </w:r>
          </w:p>
        </w:tc>
        <w:tc>
          <w:tcPr>
            <w:tcW w:w="1361" w:type="dxa"/>
            <w:vAlign w:val="center"/>
          </w:tcPr>
          <w:p>
            <w:pPr>
              <w:pStyle w:val="12"/>
            </w:pPr>
            <w:r>
              <w:t>55.09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40.65</w:t>
            </w:r>
          </w:p>
        </w:tc>
        <w:tc>
          <w:tcPr>
            <w:tcW w:w="1361" w:type="dxa"/>
            <w:vAlign w:val="center"/>
          </w:tcPr>
          <w:p>
            <w:pPr>
              <w:pStyle w:val="12"/>
            </w:pPr>
            <w:r>
              <w:t>40.65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40.65</w:t>
            </w:r>
          </w:p>
        </w:tc>
        <w:tc>
          <w:tcPr>
            <w:tcW w:w="1361" w:type="dxa"/>
            <w:vAlign w:val="center"/>
          </w:tcPr>
          <w:p>
            <w:pPr>
              <w:pStyle w:val="12"/>
            </w:pPr>
            <w:r>
              <w:t>40.65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40.65</w:t>
            </w:r>
          </w:p>
        </w:tc>
        <w:tc>
          <w:tcPr>
            <w:tcW w:w="1361" w:type="dxa"/>
            <w:vAlign w:val="center"/>
          </w:tcPr>
          <w:p>
            <w:pPr>
              <w:pStyle w:val="12"/>
            </w:pPr>
            <w:r>
              <w:t>40.65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54.20</w:t>
            </w:r>
          </w:p>
        </w:tc>
        <w:tc>
          <w:tcPr>
            <w:tcW w:w="1361" w:type="dxa"/>
            <w:vAlign w:val="center"/>
          </w:tcPr>
          <w:p>
            <w:pPr>
              <w:pStyle w:val="12"/>
            </w:pPr>
            <w:r>
              <w:t>54.20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54.20</w:t>
            </w:r>
          </w:p>
        </w:tc>
        <w:tc>
          <w:tcPr>
            <w:tcW w:w="1361" w:type="dxa"/>
            <w:vAlign w:val="center"/>
          </w:tcPr>
          <w:p>
            <w:pPr>
              <w:pStyle w:val="12"/>
            </w:pPr>
            <w:r>
              <w:t>54.20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54.20</w:t>
            </w:r>
          </w:p>
        </w:tc>
        <w:tc>
          <w:tcPr>
            <w:tcW w:w="1361" w:type="dxa"/>
            <w:vAlign w:val="center"/>
          </w:tcPr>
          <w:p>
            <w:pPr>
              <w:pStyle w:val="12"/>
            </w:pPr>
            <w:r>
              <w:t>54.20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202中共石家庄市鹿泉区委办公室</w:t>
            </w:r>
          </w:p>
        </w:tc>
        <w:tc>
          <w:tcPr>
            <w:tcW w:w="3402" w:type="dxa"/>
            <w:tcBorders>
              <w:top w:val="single" w:color="FFFFFF" w:sz="6" w:space="0"/>
              <w:left w:val="single" w:color="FFFFFF" w:sz="6" w:space="0"/>
              <w:right w:val="single" w:color="FFFFFF" w:sz="6" w:space="0"/>
            </w:tcBorders>
            <w:vAlign w:val="center"/>
          </w:tcPr>
          <w:p>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1020.62</w:t>
            </w:r>
          </w:p>
        </w:tc>
        <w:tc>
          <w:tcPr>
            <w:tcW w:w="3402" w:type="dxa"/>
            <w:vAlign w:val="center"/>
          </w:tcPr>
          <w:p>
            <w:pPr>
              <w:pStyle w:val="13"/>
            </w:pPr>
            <w:r>
              <w:t>一、一般公共服务支出</w:t>
            </w:r>
          </w:p>
        </w:tc>
        <w:tc>
          <w:tcPr>
            <w:tcW w:w="1474" w:type="dxa"/>
            <w:vAlign w:val="center"/>
          </w:tcPr>
          <w:p>
            <w:pPr>
              <w:pStyle w:val="12"/>
            </w:pPr>
            <w:r>
              <w:t>840.63</w:t>
            </w:r>
          </w:p>
        </w:tc>
        <w:tc>
          <w:tcPr>
            <w:tcW w:w="1474" w:type="dxa"/>
            <w:vAlign w:val="center"/>
          </w:tcPr>
          <w:p>
            <w:pPr>
              <w:pStyle w:val="12"/>
            </w:pPr>
            <w:r>
              <w:t>840.63</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85.14</w:t>
            </w:r>
          </w:p>
        </w:tc>
        <w:tc>
          <w:tcPr>
            <w:tcW w:w="1474" w:type="dxa"/>
            <w:vAlign w:val="center"/>
          </w:tcPr>
          <w:p>
            <w:pPr>
              <w:pStyle w:val="12"/>
            </w:pPr>
            <w:r>
              <w:t>85.14</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40.65</w:t>
            </w:r>
          </w:p>
        </w:tc>
        <w:tc>
          <w:tcPr>
            <w:tcW w:w="1474" w:type="dxa"/>
            <w:vAlign w:val="center"/>
          </w:tcPr>
          <w:p>
            <w:pPr>
              <w:pStyle w:val="12"/>
            </w:pPr>
            <w:r>
              <w:t>40.65</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54.20</w:t>
            </w:r>
          </w:p>
        </w:tc>
        <w:tc>
          <w:tcPr>
            <w:tcW w:w="1474" w:type="dxa"/>
            <w:vAlign w:val="center"/>
          </w:tcPr>
          <w:p>
            <w:pPr>
              <w:pStyle w:val="12"/>
            </w:pPr>
            <w:r>
              <w:t>54.20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1020.62</w:t>
            </w:r>
          </w:p>
        </w:tc>
        <w:tc>
          <w:tcPr>
            <w:tcW w:w="3402" w:type="dxa"/>
            <w:vAlign w:val="center"/>
          </w:tcPr>
          <w:p>
            <w:pPr>
              <w:pStyle w:val="15"/>
            </w:pPr>
            <w:r>
              <w:t>本年支出合计</w:t>
            </w:r>
          </w:p>
        </w:tc>
        <w:tc>
          <w:tcPr>
            <w:tcW w:w="1474" w:type="dxa"/>
            <w:vAlign w:val="center"/>
          </w:tcPr>
          <w:p>
            <w:pPr>
              <w:pStyle w:val="16"/>
            </w:pPr>
            <w:r>
              <w:t>1020.62</w:t>
            </w:r>
          </w:p>
        </w:tc>
        <w:tc>
          <w:tcPr>
            <w:tcW w:w="1474" w:type="dxa"/>
            <w:vAlign w:val="center"/>
          </w:tcPr>
          <w:p>
            <w:pPr>
              <w:pStyle w:val="16"/>
            </w:pPr>
            <w:r>
              <w:t>1020.62</w:t>
            </w:r>
          </w:p>
        </w:tc>
        <w:tc>
          <w:tcPr>
            <w:tcW w:w="1474" w:type="dxa"/>
            <w:vAlign w:val="center"/>
          </w:tcPr>
          <w:p>
            <w:pPr>
              <w:pStyle w:val="16"/>
            </w:pPr>
          </w:p>
        </w:tc>
        <w:tc>
          <w:tcPr>
            <w:tcW w:w="147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1020.62</w:t>
            </w:r>
          </w:p>
        </w:tc>
        <w:tc>
          <w:tcPr>
            <w:tcW w:w="3402" w:type="dxa"/>
            <w:vAlign w:val="center"/>
          </w:tcPr>
          <w:p>
            <w:pPr>
              <w:pStyle w:val="15"/>
            </w:pPr>
            <w:r>
              <w:t>支出总计</w:t>
            </w:r>
          </w:p>
        </w:tc>
        <w:tc>
          <w:tcPr>
            <w:tcW w:w="1474" w:type="dxa"/>
            <w:vAlign w:val="center"/>
          </w:tcPr>
          <w:p>
            <w:pPr>
              <w:pStyle w:val="16"/>
            </w:pPr>
            <w:r>
              <w:t>1020.62</w:t>
            </w:r>
          </w:p>
        </w:tc>
        <w:tc>
          <w:tcPr>
            <w:tcW w:w="1474" w:type="dxa"/>
            <w:vAlign w:val="center"/>
          </w:tcPr>
          <w:p>
            <w:pPr>
              <w:pStyle w:val="16"/>
            </w:pPr>
            <w:r>
              <w:t>1020.62</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202中共石家庄市鹿泉区委办公室</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1020.62</w:t>
            </w:r>
          </w:p>
        </w:tc>
        <w:tc>
          <w:tcPr>
            <w:tcW w:w="2551" w:type="dxa"/>
            <w:vAlign w:val="center"/>
          </w:tcPr>
          <w:p>
            <w:pPr>
              <w:pStyle w:val="16"/>
            </w:pPr>
            <w:r>
              <w:t>741.92</w:t>
            </w:r>
          </w:p>
        </w:tc>
        <w:tc>
          <w:tcPr>
            <w:tcW w:w="2551" w:type="dxa"/>
            <w:vAlign w:val="center"/>
          </w:tcPr>
          <w:p>
            <w:pPr>
              <w:pStyle w:val="16"/>
            </w:pPr>
            <w:r>
              <w:t>278.70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840.63</w:t>
            </w:r>
          </w:p>
        </w:tc>
        <w:tc>
          <w:tcPr>
            <w:tcW w:w="2551" w:type="dxa"/>
            <w:vAlign w:val="center"/>
          </w:tcPr>
          <w:p>
            <w:pPr>
              <w:pStyle w:val="12"/>
            </w:pPr>
            <w:r>
              <w:t>561.93</w:t>
            </w:r>
          </w:p>
        </w:tc>
        <w:tc>
          <w:tcPr>
            <w:tcW w:w="2551" w:type="dxa"/>
            <w:vAlign w:val="center"/>
          </w:tcPr>
          <w:p>
            <w:pPr>
              <w:pStyle w:val="12"/>
            </w:pPr>
            <w:r>
              <w:t>278.70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20131</w:t>
            </w:r>
          </w:p>
        </w:tc>
        <w:tc>
          <w:tcPr>
            <w:tcW w:w="4535" w:type="dxa"/>
            <w:vAlign w:val="center"/>
          </w:tcPr>
          <w:p>
            <w:pPr>
              <w:pStyle w:val="13"/>
            </w:pPr>
            <w:r>
              <w:t>党委办公厅（室）及相关机构事务</w:t>
            </w:r>
          </w:p>
        </w:tc>
        <w:tc>
          <w:tcPr>
            <w:tcW w:w="2551" w:type="dxa"/>
            <w:vAlign w:val="center"/>
          </w:tcPr>
          <w:p>
            <w:pPr>
              <w:pStyle w:val="12"/>
            </w:pPr>
            <w:r>
              <w:t>840.63</w:t>
            </w:r>
          </w:p>
        </w:tc>
        <w:tc>
          <w:tcPr>
            <w:tcW w:w="2551" w:type="dxa"/>
            <w:vAlign w:val="center"/>
          </w:tcPr>
          <w:p>
            <w:pPr>
              <w:pStyle w:val="12"/>
            </w:pPr>
            <w:r>
              <w:t>561.93</w:t>
            </w:r>
          </w:p>
        </w:tc>
        <w:tc>
          <w:tcPr>
            <w:tcW w:w="2551" w:type="dxa"/>
            <w:vAlign w:val="center"/>
          </w:tcPr>
          <w:p>
            <w:pPr>
              <w:pStyle w:val="12"/>
            </w:pPr>
            <w:r>
              <w:t>278.70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2013101</w:t>
            </w:r>
          </w:p>
        </w:tc>
        <w:tc>
          <w:tcPr>
            <w:tcW w:w="4535" w:type="dxa"/>
            <w:vAlign w:val="center"/>
          </w:tcPr>
          <w:p>
            <w:pPr>
              <w:pStyle w:val="13"/>
            </w:pPr>
            <w:r>
              <w:t>行政运行</w:t>
            </w:r>
          </w:p>
        </w:tc>
        <w:tc>
          <w:tcPr>
            <w:tcW w:w="2551" w:type="dxa"/>
            <w:vAlign w:val="center"/>
          </w:tcPr>
          <w:p>
            <w:pPr>
              <w:pStyle w:val="12"/>
            </w:pPr>
            <w:r>
              <w:t>561.93</w:t>
            </w:r>
          </w:p>
        </w:tc>
        <w:tc>
          <w:tcPr>
            <w:tcW w:w="2551" w:type="dxa"/>
            <w:vAlign w:val="center"/>
          </w:tcPr>
          <w:p>
            <w:pPr>
              <w:pStyle w:val="12"/>
            </w:pPr>
            <w:r>
              <w:t>561.93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2013102</w:t>
            </w:r>
          </w:p>
        </w:tc>
        <w:tc>
          <w:tcPr>
            <w:tcW w:w="4535" w:type="dxa"/>
            <w:vAlign w:val="center"/>
          </w:tcPr>
          <w:p>
            <w:pPr>
              <w:pStyle w:val="13"/>
            </w:pPr>
            <w:r>
              <w:t>一般行政管理事务</w:t>
            </w:r>
          </w:p>
        </w:tc>
        <w:tc>
          <w:tcPr>
            <w:tcW w:w="2551" w:type="dxa"/>
            <w:vAlign w:val="center"/>
          </w:tcPr>
          <w:p>
            <w:pPr>
              <w:pStyle w:val="12"/>
            </w:pPr>
            <w:r>
              <w:t>100.00</w:t>
            </w:r>
          </w:p>
        </w:tc>
        <w:tc>
          <w:tcPr>
            <w:tcW w:w="2551" w:type="dxa"/>
            <w:vAlign w:val="center"/>
          </w:tcPr>
          <w:p>
            <w:pPr>
              <w:pStyle w:val="12"/>
            </w:pPr>
          </w:p>
        </w:tc>
        <w:tc>
          <w:tcPr>
            <w:tcW w:w="2551" w:type="dxa"/>
            <w:vAlign w:val="center"/>
          </w:tcPr>
          <w:p>
            <w:pPr>
              <w:pStyle w:val="12"/>
            </w:pPr>
            <w:r>
              <w:t>100.00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2013105</w:t>
            </w:r>
          </w:p>
        </w:tc>
        <w:tc>
          <w:tcPr>
            <w:tcW w:w="4535" w:type="dxa"/>
            <w:vAlign w:val="center"/>
          </w:tcPr>
          <w:p>
            <w:pPr>
              <w:pStyle w:val="13"/>
            </w:pPr>
            <w:r>
              <w:t>专项业务</w:t>
            </w:r>
          </w:p>
        </w:tc>
        <w:tc>
          <w:tcPr>
            <w:tcW w:w="2551" w:type="dxa"/>
            <w:vAlign w:val="center"/>
          </w:tcPr>
          <w:p>
            <w:pPr>
              <w:pStyle w:val="12"/>
            </w:pPr>
            <w:r>
              <w:t>178.70</w:t>
            </w:r>
          </w:p>
        </w:tc>
        <w:tc>
          <w:tcPr>
            <w:tcW w:w="2551" w:type="dxa"/>
            <w:vAlign w:val="center"/>
          </w:tcPr>
          <w:p>
            <w:pPr>
              <w:pStyle w:val="12"/>
            </w:pPr>
          </w:p>
        </w:tc>
        <w:tc>
          <w:tcPr>
            <w:tcW w:w="2551" w:type="dxa"/>
            <w:vAlign w:val="center"/>
          </w:tcPr>
          <w:p>
            <w:pPr>
              <w:pStyle w:val="12"/>
            </w:pPr>
            <w:r>
              <w:t>178.70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85.14</w:t>
            </w:r>
          </w:p>
        </w:tc>
        <w:tc>
          <w:tcPr>
            <w:tcW w:w="2551" w:type="dxa"/>
            <w:vAlign w:val="center"/>
          </w:tcPr>
          <w:p>
            <w:pPr>
              <w:pStyle w:val="12"/>
            </w:pPr>
            <w:r>
              <w:t>85.14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85.14</w:t>
            </w:r>
          </w:p>
        </w:tc>
        <w:tc>
          <w:tcPr>
            <w:tcW w:w="2551" w:type="dxa"/>
            <w:vAlign w:val="center"/>
          </w:tcPr>
          <w:p>
            <w:pPr>
              <w:pStyle w:val="12"/>
            </w:pPr>
            <w:r>
              <w:t>85.14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30.05</w:t>
            </w:r>
          </w:p>
        </w:tc>
        <w:tc>
          <w:tcPr>
            <w:tcW w:w="2551" w:type="dxa"/>
            <w:vAlign w:val="center"/>
          </w:tcPr>
          <w:p>
            <w:pPr>
              <w:pStyle w:val="12"/>
            </w:pPr>
            <w:r>
              <w:t>30.05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55.09</w:t>
            </w:r>
          </w:p>
        </w:tc>
        <w:tc>
          <w:tcPr>
            <w:tcW w:w="2551" w:type="dxa"/>
            <w:vAlign w:val="center"/>
          </w:tcPr>
          <w:p>
            <w:pPr>
              <w:pStyle w:val="12"/>
            </w:pPr>
            <w:r>
              <w:t>55.09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40.65</w:t>
            </w:r>
          </w:p>
        </w:tc>
        <w:tc>
          <w:tcPr>
            <w:tcW w:w="2551" w:type="dxa"/>
            <w:vAlign w:val="center"/>
          </w:tcPr>
          <w:p>
            <w:pPr>
              <w:pStyle w:val="12"/>
            </w:pPr>
            <w:r>
              <w:t>40.65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40.65</w:t>
            </w:r>
          </w:p>
        </w:tc>
        <w:tc>
          <w:tcPr>
            <w:tcW w:w="2551" w:type="dxa"/>
            <w:vAlign w:val="center"/>
          </w:tcPr>
          <w:p>
            <w:pPr>
              <w:pStyle w:val="12"/>
            </w:pPr>
            <w:r>
              <w:t>40.65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40.65</w:t>
            </w:r>
          </w:p>
        </w:tc>
        <w:tc>
          <w:tcPr>
            <w:tcW w:w="2551" w:type="dxa"/>
            <w:vAlign w:val="center"/>
          </w:tcPr>
          <w:p>
            <w:pPr>
              <w:pStyle w:val="12"/>
            </w:pPr>
            <w:r>
              <w:t>40.65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54.20</w:t>
            </w:r>
          </w:p>
        </w:tc>
        <w:tc>
          <w:tcPr>
            <w:tcW w:w="2551" w:type="dxa"/>
            <w:vAlign w:val="center"/>
          </w:tcPr>
          <w:p>
            <w:pPr>
              <w:pStyle w:val="12"/>
            </w:pPr>
            <w:r>
              <w:t>54.20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54.20</w:t>
            </w:r>
          </w:p>
        </w:tc>
        <w:tc>
          <w:tcPr>
            <w:tcW w:w="2551" w:type="dxa"/>
            <w:vAlign w:val="center"/>
          </w:tcPr>
          <w:p>
            <w:pPr>
              <w:pStyle w:val="12"/>
            </w:pPr>
            <w:r>
              <w:t>54.20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54.20</w:t>
            </w:r>
          </w:p>
        </w:tc>
        <w:tc>
          <w:tcPr>
            <w:tcW w:w="2551" w:type="dxa"/>
            <w:vAlign w:val="center"/>
          </w:tcPr>
          <w:p>
            <w:pPr>
              <w:pStyle w:val="12"/>
            </w:pPr>
            <w:r>
              <w:t>54.20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202中共石家庄市鹿泉区委办公室</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741.92</w:t>
            </w:r>
          </w:p>
        </w:tc>
        <w:tc>
          <w:tcPr>
            <w:tcW w:w="2551" w:type="dxa"/>
            <w:vAlign w:val="center"/>
          </w:tcPr>
          <w:p>
            <w:pPr>
              <w:pStyle w:val="16"/>
            </w:pPr>
            <w:r>
              <w:t>610.27</w:t>
            </w:r>
          </w:p>
        </w:tc>
        <w:tc>
          <w:tcPr>
            <w:tcW w:w="2551" w:type="dxa"/>
            <w:vAlign w:val="center"/>
          </w:tcPr>
          <w:p>
            <w:pPr>
              <w:pStyle w:val="16"/>
            </w:pPr>
            <w:r>
              <w:t>131.66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580.42</w:t>
            </w:r>
          </w:p>
        </w:tc>
        <w:tc>
          <w:tcPr>
            <w:tcW w:w="2551" w:type="dxa"/>
            <w:vAlign w:val="center"/>
          </w:tcPr>
          <w:p>
            <w:pPr>
              <w:pStyle w:val="12"/>
            </w:pPr>
            <w:r>
              <w:t>580.42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146.32</w:t>
            </w:r>
          </w:p>
        </w:tc>
        <w:tc>
          <w:tcPr>
            <w:tcW w:w="2551" w:type="dxa"/>
            <w:vAlign w:val="center"/>
          </w:tcPr>
          <w:p>
            <w:pPr>
              <w:pStyle w:val="12"/>
            </w:pPr>
            <w:r>
              <w:t>146.32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89.74</w:t>
            </w:r>
          </w:p>
        </w:tc>
        <w:tc>
          <w:tcPr>
            <w:tcW w:w="2551" w:type="dxa"/>
            <w:vAlign w:val="center"/>
          </w:tcPr>
          <w:p>
            <w:pPr>
              <w:pStyle w:val="12"/>
            </w:pPr>
            <w:r>
              <w:t>89.74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87.49</w:t>
            </w:r>
          </w:p>
        </w:tc>
        <w:tc>
          <w:tcPr>
            <w:tcW w:w="2551" w:type="dxa"/>
            <w:vAlign w:val="center"/>
          </w:tcPr>
          <w:p>
            <w:pPr>
              <w:pStyle w:val="12"/>
            </w:pPr>
            <w:r>
              <w:t>87.49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104.93</w:t>
            </w:r>
          </w:p>
        </w:tc>
        <w:tc>
          <w:tcPr>
            <w:tcW w:w="2551" w:type="dxa"/>
            <w:vAlign w:val="center"/>
          </w:tcPr>
          <w:p>
            <w:pPr>
              <w:pStyle w:val="12"/>
            </w:pPr>
            <w:r>
              <w:t>104.93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55.09</w:t>
            </w:r>
          </w:p>
        </w:tc>
        <w:tc>
          <w:tcPr>
            <w:tcW w:w="2551" w:type="dxa"/>
            <w:vAlign w:val="center"/>
          </w:tcPr>
          <w:p>
            <w:pPr>
              <w:pStyle w:val="12"/>
            </w:pPr>
            <w:r>
              <w:t>55.09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22.92</w:t>
            </w:r>
          </w:p>
        </w:tc>
        <w:tc>
          <w:tcPr>
            <w:tcW w:w="2551" w:type="dxa"/>
            <w:vAlign w:val="center"/>
          </w:tcPr>
          <w:p>
            <w:pPr>
              <w:pStyle w:val="12"/>
            </w:pPr>
            <w:r>
              <w:t>22.92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17.73</w:t>
            </w:r>
          </w:p>
        </w:tc>
        <w:tc>
          <w:tcPr>
            <w:tcW w:w="2551" w:type="dxa"/>
            <w:vAlign w:val="center"/>
          </w:tcPr>
          <w:p>
            <w:pPr>
              <w:pStyle w:val="12"/>
            </w:pPr>
            <w:r>
              <w:t>17.73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2.00</w:t>
            </w:r>
          </w:p>
        </w:tc>
        <w:tc>
          <w:tcPr>
            <w:tcW w:w="2551" w:type="dxa"/>
            <w:vAlign w:val="center"/>
          </w:tcPr>
          <w:p>
            <w:pPr>
              <w:pStyle w:val="12"/>
            </w:pPr>
            <w:r>
              <w:t>2.00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54.20</w:t>
            </w:r>
          </w:p>
        </w:tc>
        <w:tc>
          <w:tcPr>
            <w:tcW w:w="2551" w:type="dxa"/>
            <w:vAlign w:val="center"/>
          </w:tcPr>
          <w:p>
            <w:pPr>
              <w:pStyle w:val="12"/>
            </w:pPr>
            <w:r>
              <w:t>54.20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131.66</w:t>
            </w:r>
          </w:p>
        </w:tc>
        <w:tc>
          <w:tcPr>
            <w:tcW w:w="2551" w:type="dxa"/>
            <w:vAlign w:val="center"/>
          </w:tcPr>
          <w:p>
            <w:pPr>
              <w:pStyle w:val="12"/>
            </w:pPr>
          </w:p>
        </w:tc>
        <w:tc>
          <w:tcPr>
            <w:tcW w:w="2551" w:type="dxa"/>
            <w:vAlign w:val="center"/>
          </w:tcPr>
          <w:p>
            <w:pPr>
              <w:pStyle w:val="12"/>
            </w:pPr>
            <w:r>
              <w:t>131.66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22.75</w:t>
            </w:r>
          </w:p>
        </w:tc>
        <w:tc>
          <w:tcPr>
            <w:tcW w:w="2551" w:type="dxa"/>
            <w:vAlign w:val="center"/>
          </w:tcPr>
          <w:p>
            <w:pPr>
              <w:pStyle w:val="12"/>
            </w:pPr>
          </w:p>
        </w:tc>
        <w:tc>
          <w:tcPr>
            <w:tcW w:w="2551" w:type="dxa"/>
            <w:vAlign w:val="center"/>
          </w:tcPr>
          <w:p>
            <w:pPr>
              <w:pStyle w:val="12"/>
            </w:pPr>
            <w:r>
              <w:t>22.75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10.99</w:t>
            </w:r>
          </w:p>
        </w:tc>
        <w:tc>
          <w:tcPr>
            <w:tcW w:w="2551" w:type="dxa"/>
            <w:vAlign w:val="center"/>
          </w:tcPr>
          <w:p>
            <w:pPr>
              <w:pStyle w:val="12"/>
            </w:pPr>
          </w:p>
        </w:tc>
        <w:tc>
          <w:tcPr>
            <w:tcW w:w="2551" w:type="dxa"/>
            <w:vAlign w:val="center"/>
          </w:tcPr>
          <w:p>
            <w:pPr>
              <w:pStyle w:val="12"/>
            </w:pPr>
            <w:r>
              <w:t>10.99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30226</w:t>
            </w:r>
          </w:p>
        </w:tc>
        <w:tc>
          <w:tcPr>
            <w:tcW w:w="4535" w:type="dxa"/>
            <w:vAlign w:val="center"/>
          </w:tcPr>
          <w:p>
            <w:pPr>
              <w:pStyle w:val="13"/>
            </w:pPr>
            <w:r>
              <w:t>劳务费</w:t>
            </w:r>
          </w:p>
        </w:tc>
        <w:tc>
          <w:tcPr>
            <w:tcW w:w="2551" w:type="dxa"/>
            <w:vAlign w:val="center"/>
          </w:tcPr>
          <w:p>
            <w:pPr>
              <w:pStyle w:val="12"/>
            </w:pPr>
            <w:r>
              <w:t>55.16</w:t>
            </w:r>
          </w:p>
        </w:tc>
        <w:tc>
          <w:tcPr>
            <w:tcW w:w="2551" w:type="dxa"/>
            <w:vAlign w:val="center"/>
          </w:tcPr>
          <w:p>
            <w:pPr>
              <w:pStyle w:val="12"/>
            </w:pPr>
          </w:p>
        </w:tc>
        <w:tc>
          <w:tcPr>
            <w:tcW w:w="2551" w:type="dxa"/>
            <w:vAlign w:val="center"/>
          </w:tcPr>
          <w:p>
            <w:pPr>
              <w:pStyle w:val="12"/>
            </w:pPr>
            <w:r>
              <w:t>55.16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3.09</w:t>
            </w:r>
          </w:p>
        </w:tc>
        <w:tc>
          <w:tcPr>
            <w:tcW w:w="2551" w:type="dxa"/>
            <w:vAlign w:val="center"/>
          </w:tcPr>
          <w:p>
            <w:pPr>
              <w:pStyle w:val="12"/>
            </w:pPr>
          </w:p>
        </w:tc>
        <w:tc>
          <w:tcPr>
            <w:tcW w:w="2551" w:type="dxa"/>
            <w:vAlign w:val="center"/>
          </w:tcPr>
          <w:p>
            <w:pPr>
              <w:pStyle w:val="12"/>
            </w:pPr>
            <w:r>
              <w:t>3.09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30229</w:t>
            </w:r>
          </w:p>
        </w:tc>
        <w:tc>
          <w:tcPr>
            <w:tcW w:w="4535" w:type="dxa"/>
            <w:vAlign w:val="center"/>
          </w:tcPr>
          <w:p>
            <w:pPr>
              <w:pStyle w:val="13"/>
            </w:pPr>
            <w:r>
              <w:t>福利费</w:t>
            </w:r>
          </w:p>
        </w:tc>
        <w:tc>
          <w:tcPr>
            <w:tcW w:w="2551" w:type="dxa"/>
            <w:vAlign w:val="center"/>
          </w:tcPr>
          <w:p>
            <w:pPr>
              <w:pStyle w:val="12"/>
            </w:pPr>
            <w:r>
              <w:t>3.66</w:t>
            </w:r>
          </w:p>
        </w:tc>
        <w:tc>
          <w:tcPr>
            <w:tcW w:w="2551" w:type="dxa"/>
            <w:vAlign w:val="center"/>
          </w:tcPr>
          <w:p>
            <w:pPr>
              <w:pStyle w:val="12"/>
            </w:pPr>
          </w:p>
        </w:tc>
        <w:tc>
          <w:tcPr>
            <w:tcW w:w="2551" w:type="dxa"/>
            <w:vAlign w:val="center"/>
          </w:tcPr>
          <w:p>
            <w:pPr>
              <w:pStyle w:val="12"/>
            </w:pPr>
            <w:r>
              <w:t>3.66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18.90</w:t>
            </w:r>
          </w:p>
        </w:tc>
        <w:tc>
          <w:tcPr>
            <w:tcW w:w="2551" w:type="dxa"/>
            <w:vAlign w:val="center"/>
          </w:tcPr>
          <w:p>
            <w:pPr>
              <w:pStyle w:val="12"/>
            </w:pPr>
          </w:p>
        </w:tc>
        <w:tc>
          <w:tcPr>
            <w:tcW w:w="2551" w:type="dxa"/>
            <w:vAlign w:val="center"/>
          </w:tcPr>
          <w:p>
            <w:pPr>
              <w:pStyle w:val="12"/>
            </w:pPr>
            <w:r>
              <w:t>18.90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15.71</w:t>
            </w:r>
          </w:p>
        </w:tc>
        <w:tc>
          <w:tcPr>
            <w:tcW w:w="2551" w:type="dxa"/>
            <w:vAlign w:val="center"/>
          </w:tcPr>
          <w:p>
            <w:pPr>
              <w:pStyle w:val="12"/>
            </w:pPr>
          </w:p>
        </w:tc>
        <w:tc>
          <w:tcPr>
            <w:tcW w:w="2551" w:type="dxa"/>
            <w:vAlign w:val="center"/>
          </w:tcPr>
          <w:p>
            <w:pPr>
              <w:pStyle w:val="12"/>
            </w:pPr>
            <w:r>
              <w:t>15.71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1.40</w:t>
            </w:r>
          </w:p>
        </w:tc>
        <w:tc>
          <w:tcPr>
            <w:tcW w:w="2551" w:type="dxa"/>
            <w:vAlign w:val="center"/>
          </w:tcPr>
          <w:p>
            <w:pPr>
              <w:pStyle w:val="12"/>
            </w:pPr>
          </w:p>
        </w:tc>
        <w:tc>
          <w:tcPr>
            <w:tcW w:w="2551" w:type="dxa"/>
            <w:vAlign w:val="center"/>
          </w:tcPr>
          <w:p>
            <w:pPr>
              <w:pStyle w:val="12"/>
            </w:pPr>
            <w:r>
              <w:t>1.40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29.85</w:t>
            </w:r>
          </w:p>
        </w:tc>
        <w:tc>
          <w:tcPr>
            <w:tcW w:w="2551" w:type="dxa"/>
            <w:vAlign w:val="center"/>
          </w:tcPr>
          <w:p>
            <w:pPr>
              <w:pStyle w:val="12"/>
            </w:pPr>
            <w:r>
              <w:t>29.85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29.36</w:t>
            </w:r>
          </w:p>
        </w:tc>
        <w:tc>
          <w:tcPr>
            <w:tcW w:w="2551" w:type="dxa"/>
            <w:vAlign w:val="center"/>
          </w:tcPr>
          <w:p>
            <w:pPr>
              <w:pStyle w:val="12"/>
            </w:pPr>
            <w:r>
              <w:t>29.36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0.49</w:t>
            </w:r>
          </w:p>
        </w:tc>
        <w:tc>
          <w:tcPr>
            <w:tcW w:w="2551" w:type="dxa"/>
            <w:vAlign w:val="center"/>
          </w:tcPr>
          <w:p>
            <w:pPr>
              <w:pStyle w:val="12"/>
            </w:pPr>
            <w:r>
              <w:t>0.49</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202中共石家庄市鹿泉区委办公室</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202中共石家庄市鹿泉区委办公室</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202中共石家庄市鹿泉区委办公室</w:t>
            </w:r>
          </w:p>
        </w:tc>
        <w:tc>
          <w:tcPr>
            <w:tcW w:w="2381" w:type="dxa"/>
            <w:tcBorders>
              <w:top w:val="single" w:color="FFFFFF" w:sz="6" w:space="0"/>
              <w:left w:val="single" w:color="FFFFFF" w:sz="6" w:space="0"/>
              <w:right w:val="single" w:color="FFFFFF" w:sz="6" w:space="0"/>
            </w:tcBorders>
            <w:vAlign w:val="center"/>
          </w:tcPr>
          <w:p>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36.40</w:t>
            </w:r>
          </w:p>
        </w:tc>
        <w:tc>
          <w:tcPr>
            <w:tcW w:w="2381" w:type="dxa"/>
            <w:vAlign w:val="center"/>
          </w:tcPr>
          <w:p>
            <w:pPr>
              <w:pStyle w:val="16"/>
            </w:pPr>
            <w:r>
              <w:t>36.40</w:t>
            </w:r>
          </w:p>
        </w:tc>
        <w:tc>
          <w:tcPr>
            <w:tcW w:w="2381" w:type="dxa"/>
            <w:vAlign w:val="center"/>
          </w:tcPr>
          <w:p>
            <w:pPr>
              <w:pStyle w:val="16"/>
            </w:pPr>
          </w:p>
        </w:tc>
        <w:tc>
          <w:tcPr>
            <w:tcW w:w="238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36.40</w:t>
            </w:r>
          </w:p>
        </w:tc>
        <w:tc>
          <w:tcPr>
            <w:tcW w:w="2381" w:type="dxa"/>
            <w:vAlign w:val="center"/>
          </w:tcPr>
          <w:p>
            <w:pPr>
              <w:pStyle w:val="12"/>
            </w:pPr>
            <w:r>
              <w:t>36.40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r>
              <w:t>7.50</w:t>
            </w:r>
          </w:p>
        </w:tc>
        <w:tc>
          <w:tcPr>
            <w:tcW w:w="2381" w:type="dxa"/>
            <w:vAlign w:val="center"/>
          </w:tcPr>
          <w:p>
            <w:pPr>
              <w:pStyle w:val="12"/>
            </w:pPr>
            <w:r>
              <w:t>7.50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r>
              <w:t>7.50</w:t>
            </w:r>
          </w:p>
        </w:tc>
        <w:tc>
          <w:tcPr>
            <w:tcW w:w="2381" w:type="dxa"/>
            <w:vAlign w:val="center"/>
          </w:tcPr>
          <w:p>
            <w:pPr>
              <w:pStyle w:val="12"/>
            </w:pPr>
            <w:r>
              <w:t>7.50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18.90</w:t>
            </w:r>
          </w:p>
        </w:tc>
        <w:tc>
          <w:tcPr>
            <w:tcW w:w="2381" w:type="dxa"/>
            <w:vAlign w:val="center"/>
          </w:tcPr>
          <w:p>
            <w:pPr>
              <w:pStyle w:val="12"/>
            </w:pPr>
            <w:r>
              <w:t>18.90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18.90</w:t>
            </w:r>
          </w:p>
        </w:tc>
        <w:tc>
          <w:tcPr>
            <w:tcW w:w="2381" w:type="dxa"/>
            <w:vAlign w:val="center"/>
          </w:tcPr>
          <w:p>
            <w:pPr>
              <w:pStyle w:val="12"/>
            </w:pPr>
            <w:r>
              <w:t>18.90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r>
              <w:t>10.00</w:t>
            </w:r>
          </w:p>
        </w:tc>
        <w:tc>
          <w:tcPr>
            <w:tcW w:w="2381" w:type="dxa"/>
            <w:vAlign w:val="center"/>
          </w:tcPr>
          <w:p>
            <w:pPr>
              <w:pStyle w:val="12"/>
            </w:pPr>
            <w:r>
              <w:t>10.00</w:t>
            </w: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中共石家庄市鹿泉区委办公室2025年部门预算信息公开情况说明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中共石家庄市鹿泉区委办公室2025年部门预算信息公开情况说明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按照《中华人民共和国预算法》、《地方预决算公开操作规程》和《关于进一步推进预算公开工作的实施意见》规定，现将中共石家庄市鹿泉区委办公室2025年部门预算公开如下：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（一）负责推动党中央和省、市、区委决策部署的落实，按照区委要求协调有关方面开展工作，承担区委运行保障具体事务。</w:t>
      </w:r>
    </w:p>
    <w:p>
      <w:pPr>
        <w:pStyle w:val="18"/>
      </w:pPr>
      <w:r>
        <w:t>（二）负责区委和区委办公室文件、区委领导讲话的起草、修改等工作；负责对全区文秘干部职工的教育培训工作。</w:t>
      </w:r>
    </w:p>
    <w:p>
      <w:pPr>
        <w:pStyle w:val="18"/>
      </w:pPr>
      <w:r>
        <w:t>（三）围绕党中央和省、市、区委总体工作部署开展调查研究，手机和处理信息，反映动态；负责社情民意的搜集、整理和编报工作。</w:t>
      </w:r>
    </w:p>
    <w:p>
      <w:pPr>
        <w:pStyle w:val="18"/>
      </w:pPr>
      <w:r>
        <w:t>（四）负责区委全会、区委常委会会议和区委其他重要会议的会务工作；负责区委领导参加重大活动和日常工作活动的组织安排；承担区委值班工作；负责编写区委大事记。</w:t>
      </w:r>
    </w:p>
    <w:p>
      <w:pPr>
        <w:pStyle w:val="18"/>
      </w:pPr>
      <w:r>
        <w:t>（五）承担区委履行全面从严治党主体责任相关工作的谋划、部署、督导、推动和落实；负责统筹协调和督促指导全区党务公开工作。</w:t>
      </w:r>
    </w:p>
    <w:p>
      <w:pPr>
        <w:pStyle w:val="18"/>
      </w:pPr>
      <w:r>
        <w:t>（六）负责区委日常文书处理：负责区委文件和区委办公室代区委行文的审核工作；负责区委制定规范性文件的服务工作；负责为区委领导提供法律方面的工作。</w:t>
      </w:r>
    </w:p>
    <w:p>
      <w:pPr>
        <w:pStyle w:val="18"/>
      </w:pPr>
      <w:r>
        <w:t>（七）围绕区委中心工作，组织力量对经济建设、政治建设、文化建设、社会建设、生态文明建设和党的建设等方面的重大问题进行调查研究，提出意见和建议，供区委决策参考；负责组织、协调、指导全区的调查研究工作。</w:t>
      </w:r>
    </w:p>
    <w:p>
      <w:pPr>
        <w:pStyle w:val="18"/>
      </w:pPr>
      <w:r>
        <w:t>（八）负责协调提出全区中长期改革规划建议和年度工作要点，对拟出台的涉及重大改革事项的政策性文件进行审核；负责区委全面深化改革委员会决策部署的推动落实；负责全区改革工作的统筹、协调、督促、检查、推动、考核；承担区委全面化改革委员会的日常工作。</w:t>
      </w:r>
    </w:p>
    <w:p>
      <w:pPr>
        <w:pStyle w:val="18"/>
      </w:pPr>
      <w:r>
        <w:t>（九）贯彻落实党中央和省、市、区委关于国家安全工作的各项决策部署，负责研究提出区委国家安全委员会重点工作安排，收集汇总、整理分析并上报涉及国家安全的情报信息，指导协调有关方面开展国家安全风险排查，组织全区国家安全工作督查检查、考考评核工作；承担区委国家安全委员会日常工作。</w:t>
      </w:r>
    </w:p>
    <w:p>
      <w:pPr>
        <w:pStyle w:val="18"/>
      </w:pPr>
      <w:r>
        <w:t xml:space="preserve">（十）负责上级和全区党政军领导机关及要害部门核心机密的传递工作；拟定全区保密、密码工作发展规划并组织实施；对全区保密机要工作实施业务领导；负责全区机关事业单位及经济、科学等领域保密管理，通信和计算机网络的保密管理，全区核心密码、普通密码的装备、使用和管理工作；负责失泄密事件的查处工作。 </w:t>
      </w:r>
    </w:p>
    <w:p>
      <w:pPr>
        <w:pStyle w:val="18"/>
      </w:pPr>
      <w:r>
        <w:t>（十一）负责全区机关事业单位和驻区有关单位的密码电报、内部明电和密传件的传输管理工作；负责全区电子政务内网、党委系统信息化等建设和管理工作；负责全区密码通信网络的管理工作；负责全区党政专用通信二级网的管理、维护工作；承担区委保密委员会和区密码工作领导小组的日常工作。</w:t>
      </w:r>
    </w:p>
    <w:p>
      <w:pPr>
        <w:pStyle w:val="18"/>
      </w:pPr>
      <w:r>
        <w:t>（十二）负责党中央和省、市区委重大决策、重要工作部署和市委、区委重要会议议定事项以及党委领导批示指示交办事项的督办落实及反馈工作；负责统筹协调全区督查检查考核工作；负责区委重点工作落实情况的跟踪督办考评工作。</w:t>
      </w:r>
    </w:p>
    <w:p>
      <w:pPr>
        <w:pStyle w:val="18"/>
      </w:pPr>
      <w:r>
        <w:t>（十三）负责全区机关事业单位机关事务的管理工作；负责研究拟订机关事务管理制度，推动机关后勤服务的改革与发展；负责研究机关事务工作中带有普遍性的问题，对机关后勤工作进行业务指导；对全区机关事业单位办公用房、公务用车、公共机构节能降耗等进行管理、指导、协调、监督、负责全区政务接待业务指导工作。</w:t>
      </w:r>
    </w:p>
    <w:p>
      <w:pPr>
        <w:pStyle w:val="18"/>
      </w:pPr>
      <w:r>
        <w:t>（十四）负责全区档案事业宏观管理和监督指导等工作。</w:t>
      </w:r>
    </w:p>
    <w:p>
      <w:pPr>
        <w:pStyle w:val="18"/>
      </w:pPr>
      <w:r>
        <w:t>（十五）负责组织指导、督促检查全区地方志工作。</w:t>
      </w:r>
    </w:p>
    <w:p>
      <w:pPr>
        <w:pStyle w:val="18"/>
      </w:pPr>
      <w:r>
        <w:t>（十六）完成区委交办的其他任务。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中共石家庄市鹿泉区委办公室本级</w:t>
            </w:r>
          </w:p>
        </w:tc>
        <w:tc>
          <w:tcPr>
            <w:tcW w:w="1843" w:type="dxa"/>
            <w:vAlign w:val="center"/>
          </w:tcPr>
          <w:p>
            <w:pPr>
              <w:pStyle w:val="14"/>
            </w:pPr>
            <w:r>
              <w:t>行政</w:t>
            </w:r>
          </w:p>
        </w:tc>
        <w:tc>
          <w:tcPr>
            <w:tcW w:w="2126" w:type="dxa"/>
            <w:vAlign w:val="center"/>
          </w:tcPr>
          <w:p>
            <w:pPr>
              <w:pStyle w:val="14"/>
            </w:pPr>
            <w:r>
              <w:t>正处（县）级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按照预算管理有关规定，目前部门预算的编制实行综合预算管理，即全部收入和支出都反映在预算中。中共石家庄市鹿泉区委办公室机关及所属事业单位的收支包含在部门预算中。</w:t>
      </w:r>
    </w:p>
    <w:p>
      <w:pPr>
        <w:pStyle w:val="19"/>
      </w:pPr>
      <w:r>
        <w:t>1、收入说明</w:t>
      </w:r>
    </w:p>
    <w:p>
      <w:pPr>
        <w:pStyle w:val="19"/>
      </w:pPr>
      <w:r>
        <w:t>反映本部门当年全部收入。2025年预算收入1020.62万元，其中：一般公共预算收入1020.62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中共石家庄市鹿泉区委办公室年度部门预算中支出预算的总体情况。2025年支出预算1020.62万元，其中基本支出741.92万元，包括人员经费610.27万元和日常公用经费131.66万元；项目支出278.70万元，主要为人员经费和项目支出。</w:t>
      </w:r>
    </w:p>
    <w:p>
      <w:pPr>
        <w:pStyle w:val="19"/>
      </w:pPr>
      <w:r>
        <w:t>3、比上年增减情况</w:t>
      </w:r>
    </w:p>
    <w:p>
      <w:pPr>
        <w:pStyle w:val="19"/>
      </w:pPr>
      <w:r>
        <w:t>2025年预算收支安排1020.62万元，较2024年预算减少87.55万元，其中：基本支出减少75.05万元，主要为人员经费和项目支出减少。项目支出减少12.50万元，主要为减少了项目尾款支出。</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2025年，我部门机关运行经费共计安排131.66万元，主要用于日常维修、办公用房水电费、办公用房取暖费、办公用房物业管理费等日常运行支出。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2025年，我部门财政拨款“三公”经费预算安排36.40万元，其中因公出国（境）费7.50万元；公务用车购置及运维费18.90万元（其中：公务用车购置费为0.00万元，公务用车运维费18.90万元)；公务接待费10.00万元。与2024年相比增加10.00万元，增减变化的主要原因是增加了公务接待费用。</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一）当好参谋助手，加强以文辅政作用。把出主意、当参谋作为办公室的首要职责，切实当好区委的智囊团和思想库。一是高标准起草文稿。以表述准确、领导满意、受众认可为标准，认真起草工作报告、汇报材料、领导讲话、署名文章和各类会议纪要等文稿。二是高质量开展调研。根据区委阶段性工作目标和重点任务，围绕区委中心工作和事关全局问题深入基层调研，真正把情况摸准摸实，形成高质量的调研报告，为区委主要领导决策提供依据。三是高效率灵通信息。围绕区委领导关注的大事、要事进行信息反馈，认真做好《鹿泉快报》《要情快报》、《观点摘要》等，认真办理省、市社情民意办公室的交办件，力争办结率达到100%。四是高力度对外宣传。积极向省、市委信息中心上报互联网信息、长篇信息、短篇信息等各类信息；积极向省、市刊物投送调研文章、经验材料、署名文章；认真做好区委大事记整理和区委主要领导批示件登记、交转工作并对重要事项进行跟踪问效、及时反馈，保证区委决策得到贯彻落实。</w:t>
      </w:r>
    </w:p>
    <w:p>
      <w:pPr>
        <w:pStyle w:val="22"/>
      </w:pPr>
      <w:r>
        <w:t>（二）搞好协调服务，充分发挥指挥中枢作用。充分发挥办公室统筹协调的职能，为区委总揽全局、协调各方当好有力助手。一是做好重点工作的协调。加强对项目建设、信访稳定、省委巡视工作等重点工作的协调服务，特别是认真履行改革办职责，加强与上级改革办、本级部门的协调，强力推进全区改革工作。二是做好重大会议的协调。本着精心组织、周密安排的原则，坚持会议通知、会场布置、交通安保、会议签到等各个环节提前介入，确保会议完满召开。三是做好重要活动的协调。认真做好上级领导调研和其他县（市）考察活动，确保国家、省、市到鹿泉的调研等活动圆满完成。</w:t>
      </w:r>
    </w:p>
    <w:p>
      <w:pPr>
        <w:pStyle w:val="22"/>
      </w:pPr>
      <w:r>
        <w:t>（三）狠抓督导指导，严格落实区委决策部署。坚持“钉钉子精神”，不断改进督查方式，有效推动全区重大决策部署和重点工作的落实。一是围绕区委重大决策部署进行督查。对区委各项重点工作责任分解、省市涉及我区重点工作等工作开展督查，及时发现问题并督促解决，确保区委重大决策部署落到实处。二是围绕区委重点工作进行督查。对“两个环境”建设情况、重点项目观摩拉练活动、生态绿化工程建设情况、四路一湖一河一广场工程、信访维稳、大气污染防治、农村环境卫生整治等领导关注、群众关心的重点工作，进行持续督查；对防火、防汛、护路、供暖等阶段性工作，进行了重点督查，有力地推动工作落实。三是围绕区委领导批示件和交办事项进行督查。针对领导批办事项，限定期限、迅速转办、定期催结，坚决把每一件领导批办事项作为上为领导分忧、下为群众解难的工作抓紧抓好。</w:t>
      </w:r>
    </w:p>
    <w:p>
      <w:pPr>
        <w:pStyle w:val="22"/>
      </w:pPr>
      <w:r>
        <w:t>（四）坚持规范管理，确保机关运转畅通高效。积极推进规范化、标准化管理，确保办公室工作各个细节有章可循，各个环节紧密衔接。在公文流转方面，继续健全文件审签制度，确保不发生拖压、丢失和泄密事件；认真做好文件印刷和档案管理工作；加强党政信息网络管理应用，不发生网络泄密事件。在日常值班方面，坚持24小时领导干部带班和干部值班，认真做好值班文件的登记、传阅、存档工作；认真做好政府门前信访工作，做到及时快速处置；加强对各部门值班、带班情况的检查，指导各单位规范值班工作制度。在公车管理方面，严格执行节假日公车封存规定，对外出公车发放派车单，对维修车辆出具维修单，并每日登记车辆出入库时间，实现公车规范化管理。</w:t>
      </w:r>
    </w:p>
    <w:p>
      <w:pPr>
        <w:pStyle w:val="22"/>
      </w:pPr>
      <w:r>
        <w:t>（五）加强自身建设，切实整顿机关工作作风。根据省、市、区委的统一部署，扎实开展机关作风整顿活动，办公室领导班子率先垂范，领导干部以身作则，用“以上率下、行胜于言”的榜样力量发挥示范作用。一是坚持每周四集中学习，认真学习党的十九大精神以及习近平总书记系列重要讲话精神，坚定广大党员干部党性修养和理想信念。二是以“忠诚、缜密、效率、担当”专题教育活动为载体，切实增强机关干部的忠诚意识、责任意识、效率意识、担当意识，达到“促运转、提效率、提素质”的目标要求。三是认真落实党风廉政建设有关规定，从小事入手、向细节发力，从严管理干部，以实际行动树立起为民务实清廉的良好形象。</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（一）全会经费</w:t>
      </w:r>
    </w:p>
    <w:p>
      <w:pPr>
        <w:pStyle w:val="23"/>
      </w:pPr>
      <w:r>
        <w:t>绩效目标：将区委一年的工作报告给广大党员代表，并通过党员代表向全区党员传达当前和今后区委的主要工作，凝聚共识，齐心发展。</w:t>
      </w:r>
    </w:p>
    <w:p>
      <w:pPr>
        <w:pStyle w:val="23"/>
      </w:pPr>
      <w:r>
        <w:t>绩效指标：完成每年一次的全区党代会，计划租一个场地，参会人数1000人，制作证件1000份，统计调查参会人员到场率95%以上。</w:t>
      </w:r>
    </w:p>
    <w:p>
      <w:pPr>
        <w:pStyle w:val="23"/>
      </w:pPr>
      <w:r>
        <w:t>（二）专项公用经费</w:t>
      </w:r>
    </w:p>
    <w:p>
      <w:pPr>
        <w:pStyle w:val="23"/>
      </w:pPr>
      <w:r>
        <w:t>绩效目标：用于全区委全面深化改革委员会、区委国家安全委员日常办公教育培训等保障两个区委议事协调机构日常运转。</w:t>
      </w:r>
    </w:p>
    <w:p>
      <w:pPr>
        <w:pStyle w:val="23"/>
      </w:pPr>
      <w:r>
        <w:t>绩效指标：各局乡镇文件下发印刷15次，组织全区改革办培训5次，区委办值班业务培训3次，计划建设党政公开栏及信息建设，保障相关业务、工作能力更好的开展，能够长期较好的宣传中央党务条例的各项规定。</w:t>
      </w:r>
    </w:p>
    <w:p>
      <w:pPr>
        <w:pStyle w:val="23"/>
      </w:pPr>
      <w:r>
        <w:t>（三）视联网视频调度系统服务费</w:t>
      </w:r>
    </w:p>
    <w:p>
      <w:pPr>
        <w:pStyle w:val="23"/>
      </w:pPr>
      <w:r>
        <w:t>绩效目标：按照市委《关于贯彻落实&lt;河北省党委办公厅（室）系统信息化支撑平台及应用系统建设工作推荐方案&gt;的通知》精神，2019年10月1日前设备互联网互通后期每年服务费。</w:t>
      </w:r>
    </w:p>
    <w:p>
      <w:pPr>
        <w:pStyle w:val="23"/>
      </w:pPr>
      <w:r>
        <w:t>绩效指标：确保设备能正常有序的使用。</w:t>
      </w:r>
    </w:p>
    <w:p>
      <w:pPr>
        <w:pStyle w:val="23"/>
      </w:pPr>
      <w:r>
        <w:t>（四）宣传推介费</w:t>
      </w:r>
    </w:p>
    <w:p>
      <w:pPr>
        <w:pStyle w:val="23"/>
      </w:pPr>
      <w:r>
        <w:t>绩效目标：在中央、省、市级别相关报刊杂志上宣传推介鹿泉形象的相关费用，以期推广鹿泉优质形象，吸引更多的外商前来鹿泉学习考察，对鹿泉的建设招揽商机和资金有所帮助。</w:t>
      </w:r>
    </w:p>
    <w:p>
      <w:pPr>
        <w:pStyle w:val="23"/>
      </w:pPr>
      <w:r>
        <w:t>绩效指标：组织宣传活动，计划制作鹿泉宣传册，反应我区知名度和美誉度，吸引更多客商来我区投资。</w:t>
      </w:r>
    </w:p>
    <w:p>
      <w:pPr>
        <w:pStyle w:val="23"/>
      </w:pPr>
      <w:r>
        <w:t>（五）报刊征订</w:t>
      </w:r>
    </w:p>
    <w:p>
      <w:pPr>
        <w:pStyle w:val="23"/>
      </w:pPr>
      <w:r>
        <w:t>绩效目标：用于区委刊登文件、会议纪要代订期刊等费用。订阅一年12个月月报以党报党刊、行业为重点；巩固工费订阅市场。</w:t>
      </w:r>
    </w:p>
    <w:p>
      <w:pPr>
        <w:pStyle w:val="23"/>
      </w:pPr>
      <w:r>
        <w:t>绩效指标：每月报刊订阅量不少于12份，每季度刊登报纸读物数量不少于3次，会议纪要刊登量每月10次，刊登完成率98%。</w:t>
      </w:r>
    </w:p>
    <w:p>
      <w:pPr>
        <w:pStyle w:val="23"/>
      </w:pPr>
      <w:r>
        <w:t>（六）会议接待费</w:t>
      </w:r>
    </w:p>
    <w:p>
      <w:pPr>
        <w:pStyle w:val="23"/>
      </w:pPr>
      <w:r>
        <w:t>绩效目标：各项会议举办及中央省、市周边县区的考察接待工作，为加强重要会议活动的统筹安排协调，精心谋划组织好大型会议活动，特别是区委主要领导参加重要会议活动。</w:t>
      </w:r>
    </w:p>
    <w:p>
      <w:pPr>
        <w:pStyle w:val="23"/>
      </w:pPr>
      <w:r>
        <w:t>绩效指标：加强重要会议活动的统筹安排协调，精心谋划组织好大型会议活动，特别是区委主要领导参加的重要会议活动。</w:t>
      </w:r>
    </w:p>
    <w:p>
      <w:pPr>
        <w:pStyle w:val="23"/>
      </w:pPr>
      <w:r>
        <w:t>（七）公务内网网络设备维护及采购</w:t>
      </w:r>
    </w:p>
    <w:p>
      <w:pPr>
        <w:pStyle w:val="23"/>
      </w:pPr>
      <w:r>
        <w:t>绩效目标：各级机关的办公、信息报送、管理、协调、监督和决策等内部工作业务普遍依托内网平台开展，主要业务信息化覆盖率达到50%以上，跨地区跨部门重要政务信息系统按照需事先相互通，重要信息资源安全事先共享利用。</w:t>
      </w:r>
    </w:p>
    <w:p>
      <w:pPr>
        <w:pStyle w:val="23"/>
      </w:pPr>
      <w:r>
        <w:t>绩效指标：重要信息共享率70%建设公务内网平台覆盖率50%，购买正版软件10个，购买交换机3台，购买投影仪1台及党政内网网络维护线1根。100%保障网络信息运行情况。调查公务内网信息满意率95%。</w:t>
      </w:r>
    </w:p>
    <w:p>
      <w:pPr>
        <w:pStyle w:val="23"/>
      </w:pPr>
      <w:r>
        <w:t>（八）因公出国</w:t>
      </w:r>
    </w:p>
    <w:p>
      <w:pPr>
        <w:pStyle w:val="23"/>
      </w:pPr>
      <w:r>
        <w:t>绩效目标：该项目用于澳大利亚、新西兰、两个国家，办理出国（境）审批手续及走访2个知名企业，学习国外先进的创新经验，引进高端专家人才，促进共同发展。以达到推介鹿泉经济开发区，引进国家知名企业的效果。</w:t>
      </w:r>
    </w:p>
    <w:p>
      <w:pPr>
        <w:pStyle w:val="23"/>
      </w:pPr>
      <w:r>
        <w:t>绩效指标：严格审批干部出国（境）手续标准，走访2家知名企业学习国外先进的创新经验，引进高端专家人才，促进共同发展。以达到推介鹿泉经济开发区，引进国家知名企业的效果。</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完善制度建设。我办坚持把制度建设作为抓管理促规范的基础性工作，建立健全了业务管理和后勤管理制度。业务管理制度主要包括工作制度、会议制度、公文办理制度等；后勤官渡制度主要包括：财务制度、档案管理制度、车辆管理制度等。强化工作人员值班、文电处理等管理流程，建立了一套科学的管理方式和工作手段，进行规范化运作，切实做到用制度管人，按制度办事，人人责任分明，处处有章可循，缩短办事流程，简化中间环节，加快工作节奏，确保办公室日常运转高效有序。为全年预算绩效目标的实现奠定制度基础。</w:t>
      </w:r>
    </w:p>
    <w:p>
      <w:pPr>
        <w:pStyle w:val="24"/>
      </w:pPr>
      <w:r>
        <w:t>加强支出管理。办公室工作注重效率、效果和效能，必须要严格要求、快节奏、高效率、高质量、因此通过优化支出结构、编细编实预算、尽快启动项目、及时支付资金、6月底前细化代编预算、按预算指标计划支出资金，确保支出进度达标。</w:t>
      </w:r>
    </w:p>
    <w:p>
      <w:pPr>
        <w:pStyle w:val="24"/>
      </w:pPr>
      <w:r>
        <w:t>加强绩效运行监控。按要求开展绩效运行监控，发现问题及时采取措施，确保绩效目标如期保质实现。</w:t>
      </w:r>
    </w:p>
    <w:p>
      <w:pPr>
        <w:pStyle w:val="24"/>
      </w:pPr>
      <w:r>
        <w:t>做好绩效自评。按要求开展上年度部门预算绩效自评和重点评价工作，对评价中发现的问题及时整改，调整优化支出结构，提高财政资金使用效益。</w:t>
      </w:r>
    </w:p>
    <w:p>
      <w:pPr>
        <w:pStyle w:val="24"/>
      </w:pPr>
      <w:r>
        <w:t>规范财务资产管理。完善财务管理制度，严格审批程序，加强固定资产登记、使用和报废处置管理，做到支出合理，物尽其用。</w:t>
      </w:r>
    </w:p>
    <w:p>
      <w:pPr>
        <w:pStyle w:val="24"/>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sectPr>
          <w:pgSz w:w="16840" w:h="11900" w:orient="landscape"/>
          <w:pgMar w:top="1361" w:right="1020" w:bottom="1361" w:left="1020" w:header="720" w:footer="720" w:gutter="0"/>
          <w:cols w:space="720" w:num="1"/>
        </w:sectPr>
      </w:pPr>
      <w:r>
        <w:t>加强宣传培训调研等。加强文秘人员、公文法规、党务公开、档案史志、督查等人员培训，提高本部门职工业务素质；加强调研，提出优化财政资金配置、提高资金使用效益的意见意见；加大宣传力度，强化预算绩效管理意识，促进预算绩效管理水平进一步提升。</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numPr>
          <w:ilvl w:val="0"/>
          <w:numId w:val="0"/>
        </w:numPr>
        <w:spacing w:before="10" w:after="10" w:line="360" w:lineRule="auto"/>
        <w:jc w:val="left"/>
        <w:outlineLvl w:val="2"/>
        <w:rPr>
          <w:rFonts w:ascii="黑体" w:hAnsi="黑体" w:eastAsia="黑体" w:cs="黑体"/>
          <w:color w:val="000000"/>
          <w:sz w:val="32"/>
        </w:rPr>
      </w:pPr>
    </w:p>
    <w:p>
      <w:pPr>
        <w:numPr>
          <w:ilvl w:val="0"/>
          <w:numId w:val="0"/>
        </w:numPr>
        <w:spacing w:before="10" w:after="10" w:line="360" w:lineRule="auto"/>
        <w:jc w:val="left"/>
        <w:outlineLvl w:val="2"/>
        <w:rPr>
          <w:rFonts w:hint="default"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 xml:space="preserve">      无</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1、2025年“056平台”互联网接入口检测器采购费用绩效目标表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13011025P00322410086K</w:t>
            </w:r>
          </w:p>
        </w:tc>
        <w:tc>
          <w:tcPr>
            <w:tcW w:w="2835" w:type="dxa"/>
            <w:vAlign w:val="center"/>
          </w:tcPr>
          <w:p>
            <w:pPr>
              <w:pStyle w:val="11"/>
            </w:pPr>
            <w:r>
              <w:t>项目名称</w:t>
            </w:r>
          </w:p>
        </w:tc>
        <w:tc>
          <w:tcPr>
            <w:tcW w:w="6095" w:type="dxa"/>
            <w:gridSpan w:val="3"/>
            <w:vAlign w:val="center"/>
          </w:tcPr>
          <w:p>
            <w:pPr>
              <w:pStyle w:val="13"/>
            </w:pPr>
            <w:r>
              <w:t>2025年“056平台”互联网接入口检测器采购费用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13.50</w:t>
            </w:r>
          </w:p>
        </w:tc>
        <w:tc>
          <w:tcPr>
            <w:tcW w:w="2835" w:type="dxa"/>
            <w:vAlign w:val="center"/>
          </w:tcPr>
          <w:p>
            <w:pPr>
              <w:pStyle w:val="11"/>
            </w:pPr>
            <w:r>
              <w:t>其中：财政    资金</w:t>
            </w:r>
          </w:p>
        </w:tc>
        <w:tc>
          <w:tcPr>
            <w:tcW w:w="2551" w:type="dxa"/>
            <w:vAlign w:val="center"/>
          </w:tcPr>
          <w:p>
            <w:pPr>
              <w:pStyle w:val="13"/>
            </w:pPr>
            <w:r>
              <w:t>13.50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用于安装互联网接入口“056平台”检测器，切实提高了对我区互联网窃密泄密的技术监管能力。</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1.2023年1月，在我区机关、单位互联网接入口安装了“056平台”检测器，切实提高了对我区互联网窃密泄密的技术监管能力，</w:t>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'056平台"检测器系统数量</w:t>
            </w:r>
          </w:p>
        </w:tc>
        <w:tc>
          <w:tcPr>
            <w:tcW w:w="5386" w:type="dxa"/>
            <w:vAlign w:val="center"/>
          </w:tcPr>
          <w:p>
            <w:pPr>
              <w:pStyle w:val="13"/>
            </w:pPr>
            <w:r>
              <w:t>购置'056平台"检测器系统数量</w:t>
            </w:r>
          </w:p>
        </w:tc>
        <w:tc>
          <w:tcPr>
            <w:tcW w:w="2268" w:type="dxa"/>
            <w:vAlign w:val="center"/>
          </w:tcPr>
          <w:p>
            <w:pPr>
              <w:pStyle w:val="13"/>
            </w:pPr>
            <w:r>
              <w:t>3台</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购置设备合格率</w:t>
            </w:r>
          </w:p>
        </w:tc>
        <w:tc>
          <w:tcPr>
            <w:tcW w:w="5386" w:type="dxa"/>
            <w:vAlign w:val="center"/>
          </w:tcPr>
          <w:p>
            <w:pPr>
              <w:pStyle w:val="13"/>
            </w:pPr>
            <w:r>
              <w:t>购置设备合格率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购买设备时间</w:t>
            </w:r>
          </w:p>
        </w:tc>
        <w:tc>
          <w:tcPr>
            <w:tcW w:w="5386" w:type="dxa"/>
            <w:vAlign w:val="center"/>
          </w:tcPr>
          <w:p>
            <w:pPr>
              <w:pStyle w:val="13"/>
            </w:pPr>
            <w:r>
              <w:t>购买设备时效率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互联网接入口检测器成本</w:t>
            </w:r>
          </w:p>
        </w:tc>
        <w:tc>
          <w:tcPr>
            <w:tcW w:w="5386" w:type="dxa"/>
            <w:vAlign w:val="center"/>
          </w:tcPr>
          <w:p>
            <w:pPr>
              <w:pStyle w:val="13"/>
            </w:pPr>
            <w:r>
              <w:t>互联网接入口检测器的成本</w:t>
            </w:r>
          </w:p>
        </w:tc>
        <w:tc>
          <w:tcPr>
            <w:tcW w:w="2268" w:type="dxa"/>
            <w:vAlign w:val="center"/>
          </w:tcPr>
          <w:p>
            <w:pPr>
              <w:pStyle w:val="13"/>
            </w:pPr>
            <w:r>
              <w:t>7万元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鼎普互联网接入口检测器成本尾款</w:t>
            </w:r>
          </w:p>
        </w:tc>
        <w:tc>
          <w:tcPr>
            <w:tcW w:w="5386" w:type="dxa"/>
            <w:vAlign w:val="center"/>
          </w:tcPr>
          <w:p>
            <w:pPr>
              <w:pStyle w:val="13"/>
            </w:pPr>
            <w:r>
              <w:t>鼎普互联网接入口检测器的成本</w:t>
            </w:r>
          </w:p>
        </w:tc>
        <w:tc>
          <w:tcPr>
            <w:tcW w:w="2268" w:type="dxa"/>
            <w:vAlign w:val="center"/>
          </w:tcPr>
          <w:p>
            <w:pPr>
              <w:pStyle w:val="13"/>
            </w:pPr>
            <w:r>
              <w:t>6.5万元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系统服务年限</w:t>
            </w:r>
          </w:p>
        </w:tc>
        <w:tc>
          <w:tcPr>
            <w:tcW w:w="5386" w:type="dxa"/>
            <w:vAlign w:val="center"/>
          </w:tcPr>
          <w:p>
            <w:pPr>
              <w:pStyle w:val="13"/>
            </w:pPr>
            <w:r>
              <w:t>系统服务年限</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≥98%</w:t>
            </w:r>
          </w:p>
        </w:tc>
        <w:tc>
          <w:tcPr>
            <w:tcW w:w="1276" w:type="dxa"/>
            <w:vAlign w:val="center"/>
          </w:tcPr>
          <w:p>
            <w:pPr>
              <w:pStyle w:val="13"/>
            </w:pPr>
            <w:r>
              <w:t>工作计划</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2、2025年</w:t>
      </w:r>
      <w:r>
        <w:rPr>
          <w:rFonts w:hint="eastAsia" w:ascii="方正仿宋_GBK" w:hAnsi="方正仿宋_GBK" w:eastAsia="方正仿宋_GBK" w:cs="方正仿宋_GBK"/>
          <w:color w:val="000000"/>
          <w:sz w:val="28"/>
          <w:lang w:val="en-US" w:eastAsia="zh-CN"/>
        </w:rPr>
        <w:t>**</w:t>
      </w:r>
      <w:r>
        <w:rPr>
          <w:rFonts w:ascii="方正仿宋_GBK" w:hAnsi="方正仿宋_GBK" w:eastAsia="方正仿宋_GBK" w:cs="方正仿宋_GBK"/>
          <w:color w:val="000000"/>
          <w:sz w:val="28"/>
        </w:rPr>
        <w:t>替代工程费用绩效目标表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13011025P00322410088T</w:t>
            </w:r>
          </w:p>
        </w:tc>
        <w:tc>
          <w:tcPr>
            <w:tcW w:w="2835" w:type="dxa"/>
            <w:vAlign w:val="center"/>
          </w:tcPr>
          <w:p>
            <w:pPr>
              <w:pStyle w:val="11"/>
            </w:pPr>
            <w:r>
              <w:t>项目名称</w:t>
            </w:r>
          </w:p>
        </w:tc>
        <w:tc>
          <w:tcPr>
            <w:tcW w:w="6095" w:type="dxa"/>
            <w:gridSpan w:val="3"/>
            <w:vAlign w:val="center"/>
          </w:tcPr>
          <w:p>
            <w:pPr>
              <w:pStyle w:val="13"/>
            </w:pPr>
            <w:r>
              <w:t>2025年</w:t>
            </w:r>
            <w:r>
              <w:rPr>
                <w:rFonts w:hint="eastAsia"/>
                <w:lang w:val="en-US" w:eastAsia="zh-CN"/>
              </w:rPr>
              <w:t>**</w:t>
            </w:r>
            <w:bookmarkStart w:id="20" w:name="_GoBack"/>
            <w:bookmarkEnd w:id="20"/>
            <w:r>
              <w:t>替代工程费用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w:t>
            </w:r>
          </w:p>
        </w:tc>
        <w:tc>
          <w:tcPr>
            <w:tcW w:w="2835" w:type="dxa"/>
            <w:vAlign w:val="center"/>
          </w:tcPr>
          <w:p>
            <w:pPr>
              <w:pStyle w:val="11"/>
            </w:pPr>
            <w:r>
              <w:t>其中：财政    资金</w:t>
            </w:r>
          </w:p>
        </w:tc>
        <w:tc>
          <w:tcPr>
            <w:tcW w:w="2551" w:type="dxa"/>
            <w:vAlign w:val="center"/>
          </w:tcPr>
          <w:p>
            <w:pPr>
              <w:pStyle w:val="13"/>
            </w:pPr>
            <w:r>
              <w:t>15.00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w:t>
            </w:r>
            <w:r>
              <w:rPr>
                <w:rFonts w:hint="eastAsia"/>
                <w:lang w:val="en-US" w:eastAsia="zh-CN"/>
              </w:rPr>
              <w:t>**</w:t>
            </w:r>
            <w:r>
              <w:t>替代工程尾款费用，保障日常工作。</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1.完成电子公文系统安全可靠应用的代替工作要求，保障日常工作。</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rPr>
                <w:rFonts w:hint="eastAsia"/>
                <w:lang w:val="en-US" w:eastAsia="zh-CN"/>
              </w:rPr>
              <w:t>**</w:t>
            </w:r>
            <w:r>
              <w:t>替代工程数量</w:t>
            </w:r>
          </w:p>
        </w:tc>
        <w:tc>
          <w:tcPr>
            <w:tcW w:w="5386" w:type="dxa"/>
            <w:vAlign w:val="center"/>
          </w:tcPr>
          <w:p>
            <w:pPr>
              <w:pStyle w:val="13"/>
            </w:pPr>
            <w:r>
              <w:rPr>
                <w:rFonts w:hint="eastAsia"/>
                <w:lang w:val="en-US" w:eastAsia="zh-CN"/>
              </w:rPr>
              <w:t>**</w:t>
            </w:r>
            <w:r>
              <w:t>替代工程数量</w:t>
            </w:r>
          </w:p>
        </w:tc>
        <w:tc>
          <w:tcPr>
            <w:tcW w:w="2268" w:type="dxa"/>
            <w:vAlign w:val="center"/>
          </w:tcPr>
          <w:p>
            <w:pPr>
              <w:pStyle w:val="13"/>
            </w:pPr>
            <w:r>
              <w:t>≥1套</w:t>
            </w:r>
          </w:p>
        </w:tc>
        <w:tc>
          <w:tcPr>
            <w:tcW w:w="1276" w:type="dxa"/>
            <w:vAlign w:val="center"/>
          </w:tcPr>
          <w:p>
            <w:pPr>
              <w:pStyle w:val="13"/>
            </w:pPr>
            <w:r>
              <w:t>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lang w:val="en-US" w:eastAsia="zh-CN"/>
              </w:rPr>
              <w:t>**</w:t>
            </w:r>
            <w:r>
              <w:t>替代工程运行畅通率</w:t>
            </w:r>
          </w:p>
        </w:tc>
        <w:tc>
          <w:tcPr>
            <w:tcW w:w="5386" w:type="dxa"/>
            <w:vAlign w:val="center"/>
          </w:tcPr>
          <w:p>
            <w:pPr>
              <w:pStyle w:val="13"/>
            </w:pPr>
            <w:r>
              <w:rPr>
                <w:rFonts w:hint="eastAsia"/>
                <w:lang w:val="en-US" w:eastAsia="zh-CN"/>
              </w:rPr>
              <w:t>**</w:t>
            </w:r>
            <w:r>
              <w:t>替代工程运行畅通率</w:t>
            </w:r>
          </w:p>
        </w:tc>
        <w:tc>
          <w:tcPr>
            <w:tcW w:w="2268" w:type="dxa"/>
            <w:vAlign w:val="center"/>
          </w:tcPr>
          <w:p>
            <w:pPr>
              <w:pStyle w:val="13"/>
            </w:pPr>
            <w:r>
              <w:t>100%</w:t>
            </w:r>
          </w:p>
        </w:tc>
        <w:tc>
          <w:tcPr>
            <w:tcW w:w="1276" w:type="dxa"/>
            <w:vAlign w:val="center"/>
          </w:tcPr>
          <w:p>
            <w:pPr>
              <w:pStyle w:val="13"/>
            </w:pPr>
            <w:r>
              <w:t>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rPr>
                <w:rFonts w:hint="eastAsia"/>
                <w:lang w:val="en-US" w:eastAsia="zh-CN"/>
              </w:rPr>
              <w:t>**</w:t>
            </w:r>
            <w:r>
              <w:t>替代工程运营维护时间</w:t>
            </w:r>
          </w:p>
          <w:p>
            <w:pPr>
              <w:pStyle w:val="13"/>
            </w:pPr>
          </w:p>
        </w:tc>
        <w:tc>
          <w:tcPr>
            <w:tcW w:w="5386" w:type="dxa"/>
            <w:vAlign w:val="center"/>
          </w:tcPr>
          <w:p>
            <w:pPr>
              <w:pStyle w:val="13"/>
            </w:pPr>
            <w:r>
              <w:rPr>
                <w:rFonts w:hint="eastAsia"/>
                <w:lang w:val="en-US" w:eastAsia="zh-CN"/>
              </w:rPr>
              <w:t>**</w:t>
            </w:r>
            <w:r>
              <w:t>替代工程运营维护时间</w:t>
            </w:r>
          </w:p>
          <w:p>
            <w:pPr>
              <w:pStyle w:val="13"/>
            </w:pPr>
          </w:p>
        </w:tc>
        <w:tc>
          <w:tcPr>
            <w:tcW w:w="2268" w:type="dxa"/>
            <w:vAlign w:val="center"/>
          </w:tcPr>
          <w:p>
            <w:pPr>
              <w:pStyle w:val="13"/>
            </w:pPr>
            <w:r>
              <w:t>1年</w:t>
            </w:r>
          </w:p>
        </w:tc>
        <w:tc>
          <w:tcPr>
            <w:tcW w:w="1276" w:type="dxa"/>
            <w:vAlign w:val="center"/>
          </w:tcPr>
          <w:p>
            <w:pPr>
              <w:pStyle w:val="13"/>
            </w:pPr>
            <w:r>
              <w:t>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val="en-US" w:eastAsia="zh-CN"/>
              </w:rPr>
              <w:t>**</w:t>
            </w:r>
            <w:r>
              <w:t>替代工程尾款费用</w:t>
            </w:r>
          </w:p>
        </w:tc>
        <w:tc>
          <w:tcPr>
            <w:tcW w:w="5386" w:type="dxa"/>
            <w:vAlign w:val="center"/>
          </w:tcPr>
          <w:p>
            <w:pPr>
              <w:pStyle w:val="13"/>
            </w:pPr>
            <w:r>
              <w:rPr>
                <w:rFonts w:hint="eastAsia"/>
                <w:lang w:val="en-US" w:eastAsia="zh-CN"/>
              </w:rPr>
              <w:t>**</w:t>
            </w:r>
            <w:r>
              <w:t>替代工程尾款费用</w:t>
            </w:r>
          </w:p>
        </w:tc>
        <w:tc>
          <w:tcPr>
            <w:tcW w:w="2268" w:type="dxa"/>
            <w:vAlign w:val="center"/>
          </w:tcPr>
          <w:p>
            <w:pPr>
              <w:pStyle w:val="13"/>
            </w:pPr>
            <w:r>
              <w:t>24.07万</w:t>
            </w:r>
          </w:p>
        </w:tc>
        <w:tc>
          <w:tcPr>
            <w:tcW w:w="1276" w:type="dxa"/>
            <w:vAlign w:val="center"/>
          </w:tcPr>
          <w:p>
            <w:pPr>
              <w:pStyle w:val="13"/>
            </w:pPr>
            <w:r>
              <w:t>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系统正常运营使用年限</w:t>
            </w:r>
          </w:p>
        </w:tc>
        <w:tc>
          <w:tcPr>
            <w:tcW w:w="5386" w:type="dxa"/>
            <w:vAlign w:val="center"/>
          </w:tcPr>
          <w:p>
            <w:pPr>
              <w:pStyle w:val="13"/>
            </w:pPr>
            <w:r>
              <w:t>系统正常运营使用年限</w:t>
            </w:r>
          </w:p>
        </w:tc>
        <w:tc>
          <w:tcPr>
            <w:tcW w:w="2268" w:type="dxa"/>
            <w:vAlign w:val="center"/>
          </w:tcPr>
          <w:p>
            <w:pPr>
              <w:pStyle w:val="13"/>
            </w:pPr>
            <w:r>
              <w:t>≥1年</w:t>
            </w:r>
          </w:p>
        </w:tc>
        <w:tc>
          <w:tcPr>
            <w:tcW w:w="1276" w:type="dxa"/>
            <w:vAlign w:val="center"/>
          </w:tcPr>
          <w:p>
            <w:pPr>
              <w:pStyle w:val="13"/>
            </w:pPr>
            <w:r>
              <w:t>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区委\政府领导满意率</w:t>
            </w:r>
          </w:p>
        </w:tc>
        <w:tc>
          <w:tcPr>
            <w:tcW w:w="5386" w:type="dxa"/>
            <w:vAlign w:val="center"/>
          </w:tcPr>
          <w:p>
            <w:pPr>
              <w:pStyle w:val="13"/>
            </w:pPr>
            <w:r>
              <w:t>区委\政府领导满意率</w:t>
            </w:r>
          </w:p>
        </w:tc>
        <w:tc>
          <w:tcPr>
            <w:tcW w:w="2268" w:type="dxa"/>
            <w:vAlign w:val="center"/>
          </w:tcPr>
          <w:p>
            <w:pPr>
              <w:pStyle w:val="13"/>
            </w:pPr>
            <w:r>
              <w:t>≥98%</w:t>
            </w:r>
          </w:p>
        </w:tc>
        <w:tc>
          <w:tcPr>
            <w:tcW w:w="1276" w:type="dxa"/>
            <w:vAlign w:val="center"/>
          </w:tcPr>
          <w:p>
            <w:pPr>
              <w:pStyle w:val="13"/>
            </w:pPr>
            <w:r>
              <w:t>工作安排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3、2025年报刊征订费绩效目标表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13011025P00322410081H</w:t>
            </w:r>
          </w:p>
        </w:tc>
        <w:tc>
          <w:tcPr>
            <w:tcW w:w="2835" w:type="dxa"/>
            <w:vAlign w:val="center"/>
          </w:tcPr>
          <w:p>
            <w:pPr>
              <w:pStyle w:val="11"/>
            </w:pPr>
            <w:r>
              <w:t>项目名称</w:t>
            </w:r>
          </w:p>
        </w:tc>
        <w:tc>
          <w:tcPr>
            <w:tcW w:w="6095" w:type="dxa"/>
            <w:gridSpan w:val="3"/>
            <w:vAlign w:val="center"/>
          </w:tcPr>
          <w:p>
            <w:pPr>
              <w:pStyle w:val="13"/>
            </w:pPr>
            <w:r>
              <w:t>2025年报刊征订费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订阅一年报刊，用来学习提升社会认识度和参与度</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1.订阅一年报刊，用来学习提升社会认识度和参与度</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报刊订阅的数量</w:t>
            </w:r>
          </w:p>
        </w:tc>
        <w:tc>
          <w:tcPr>
            <w:tcW w:w="5386" w:type="dxa"/>
            <w:vAlign w:val="center"/>
          </w:tcPr>
          <w:p>
            <w:pPr>
              <w:pStyle w:val="13"/>
            </w:pPr>
            <w:r>
              <w:t>报刊订阅的数量</w:t>
            </w:r>
          </w:p>
        </w:tc>
        <w:tc>
          <w:tcPr>
            <w:tcW w:w="2268" w:type="dxa"/>
            <w:vAlign w:val="center"/>
          </w:tcPr>
          <w:p>
            <w:pPr>
              <w:pStyle w:val="13"/>
            </w:pPr>
            <w:r>
              <w:t>≥1000份</w:t>
            </w:r>
          </w:p>
        </w:tc>
        <w:tc>
          <w:tcPr>
            <w:tcW w:w="1276" w:type="dxa"/>
            <w:vAlign w:val="center"/>
          </w:tcPr>
          <w:p>
            <w:pPr>
              <w:pStyle w:val="13"/>
            </w:pPr>
            <w:r>
              <w:t>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订阅报刊的完成率</w:t>
            </w:r>
          </w:p>
        </w:tc>
        <w:tc>
          <w:tcPr>
            <w:tcW w:w="5386" w:type="dxa"/>
            <w:vAlign w:val="center"/>
          </w:tcPr>
          <w:p>
            <w:pPr>
              <w:pStyle w:val="13"/>
            </w:pPr>
            <w:r>
              <w:t>订阅报刊的完成率</w:t>
            </w:r>
          </w:p>
        </w:tc>
        <w:tc>
          <w:tcPr>
            <w:tcW w:w="2268" w:type="dxa"/>
            <w:vAlign w:val="center"/>
          </w:tcPr>
          <w:p>
            <w:pPr>
              <w:pStyle w:val="13"/>
            </w:pPr>
            <w:r>
              <w:t>≥98%</w:t>
            </w:r>
          </w:p>
          <w:p>
            <w:pPr>
              <w:pStyle w:val="13"/>
            </w:pPr>
          </w:p>
        </w:tc>
        <w:tc>
          <w:tcPr>
            <w:tcW w:w="1276" w:type="dxa"/>
            <w:vAlign w:val="center"/>
          </w:tcPr>
          <w:p>
            <w:pPr>
              <w:pStyle w:val="13"/>
            </w:pPr>
            <w:r>
              <w:t>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订阅报刊的时间按时完成率</w:t>
            </w:r>
          </w:p>
        </w:tc>
        <w:tc>
          <w:tcPr>
            <w:tcW w:w="5386" w:type="dxa"/>
            <w:vAlign w:val="center"/>
          </w:tcPr>
          <w:p>
            <w:pPr>
              <w:pStyle w:val="13"/>
            </w:pPr>
            <w:r>
              <w:t>订阅报刊的时间按时完成率</w:t>
            </w:r>
          </w:p>
        </w:tc>
        <w:tc>
          <w:tcPr>
            <w:tcW w:w="2268" w:type="dxa"/>
            <w:vAlign w:val="center"/>
          </w:tcPr>
          <w:p>
            <w:pPr>
              <w:pStyle w:val="13"/>
            </w:pPr>
            <w:r>
              <w:t>≥98%</w:t>
            </w:r>
          </w:p>
          <w:p>
            <w:pPr>
              <w:pStyle w:val="13"/>
            </w:pPr>
          </w:p>
        </w:tc>
        <w:tc>
          <w:tcPr>
            <w:tcW w:w="1276" w:type="dxa"/>
            <w:vAlign w:val="center"/>
          </w:tcPr>
          <w:p>
            <w:pPr>
              <w:pStyle w:val="13"/>
            </w:pPr>
            <w:r>
              <w:t>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订阅报刊的成本</w:t>
            </w:r>
          </w:p>
        </w:tc>
        <w:tc>
          <w:tcPr>
            <w:tcW w:w="5386" w:type="dxa"/>
            <w:vAlign w:val="center"/>
          </w:tcPr>
          <w:p>
            <w:pPr>
              <w:pStyle w:val="13"/>
            </w:pPr>
            <w:r>
              <w:t>订阅报刊的成本</w:t>
            </w:r>
          </w:p>
        </w:tc>
        <w:tc>
          <w:tcPr>
            <w:tcW w:w="2268" w:type="dxa"/>
            <w:vAlign w:val="center"/>
          </w:tcPr>
          <w:p>
            <w:pPr>
              <w:pStyle w:val="13"/>
            </w:pPr>
            <w:r>
              <w:t>≤10万</w:t>
            </w:r>
          </w:p>
          <w:p>
            <w:pPr>
              <w:pStyle w:val="13"/>
            </w:pPr>
          </w:p>
        </w:tc>
        <w:tc>
          <w:tcPr>
            <w:tcW w:w="1276" w:type="dxa"/>
            <w:vAlign w:val="center"/>
          </w:tcPr>
          <w:p>
            <w:pPr>
              <w:pStyle w:val="13"/>
            </w:pPr>
            <w:r>
              <w:t>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增强党务影响力</w:t>
            </w:r>
          </w:p>
        </w:tc>
        <w:tc>
          <w:tcPr>
            <w:tcW w:w="5386" w:type="dxa"/>
            <w:vAlign w:val="center"/>
          </w:tcPr>
          <w:p>
            <w:pPr>
              <w:pStyle w:val="13"/>
            </w:pPr>
            <w:r>
              <w:t>增强党务影响力</w:t>
            </w:r>
          </w:p>
        </w:tc>
        <w:tc>
          <w:tcPr>
            <w:tcW w:w="2268" w:type="dxa"/>
            <w:vAlign w:val="center"/>
          </w:tcPr>
          <w:p>
            <w:pPr>
              <w:pStyle w:val="13"/>
            </w:pPr>
            <w:r>
              <w:t>≥90%</w:t>
            </w:r>
          </w:p>
        </w:tc>
        <w:tc>
          <w:tcPr>
            <w:tcW w:w="1276" w:type="dxa"/>
            <w:vAlign w:val="center"/>
          </w:tcPr>
          <w:p>
            <w:pPr>
              <w:pStyle w:val="13"/>
            </w:pPr>
            <w:r>
              <w:t>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单位读者满意度</w:t>
            </w:r>
          </w:p>
        </w:tc>
        <w:tc>
          <w:tcPr>
            <w:tcW w:w="5386" w:type="dxa"/>
            <w:vAlign w:val="center"/>
          </w:tcPr>
          <w:p>
            <w:pPr>
              <w:pStyle w:val="13"/>
            </w:pPr>
            <w:r>
              <w:t>单位读者满意度</w:t>
            </w:r>
          </w:p>
        </w:tc>
        <w:tc>
          <w:tcPr>
            <w:tcW w:w="2268" w:type="dxa"/>
            <w:vAlign w:val="center"/>
          </w:tcPr>
          <w:p>
            <w:pPr>
              <w:pStyle w:val="13"/>
            </w:pPr>
            <w:r>
              <w:t>≥98%</w:t>
            </w:r>
          </w:p>
          <w:p>
            <w:pPr>
              <w:pStyle w:val="13"/>
            </w:pPr>
          </w:p>
        </w:tc>
        <w:tc>
          <w:tcPr>
            <w:tcW w:w="1276" w:type="dxa"/>
            <w:vAlign w:val="center"/>
          </w:tcPr>
          <w:p>
            <w:pPr>
              <w:pStyle w:val="13"/>
            </w:pPr>
            <w:r>
              <w:t>工作安排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4、2025年党政密码通信系统运维费用绩效目标表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13011025P00322410090R</w:t>
            </w:r>
          </w:p>
        </w:tc>
        <w:tc>
          <w:tcPr>
            <w:tcW w:w="2835" w:type="dxa"/>
            <w:vAlign w:val="center"/>
          </w:tcPr>
          <w:p>
            <w:pPr>
              <w:pStyle w:val="11"/>
            </w:pPr>
            <w:r>
              <w:t>项目名称</w:t>
            </w:r>
          </w:p>
        </w:tc>
        <w:tc>
          <w:tcPr>
            <w:tcW w:w="6095" w:type="dxa"/>
            <w:gridSpan w:val="3"/>
            <w:vAlign w:val="center"/>
          </w:tcPr>
          <w:p>
            <w:pPr>
              <w:pStyle w:val="13"/>
            </w:pPr>
            <w:r>
              <w:t>2025年党政密码通信系统运维费用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19.50</w:t>
            </w:r>
          </w:p>
        </w:tc>
        <w:tc>
          <w:tcPr>
            <w:tcW w:w="2835" w:type="dxa"/>
            <w:vAlign w:val="center"/>
          </w:tcPr>
          <w:p>
            <w:pPr>
              <w:pStyle w:val="11"/>
            </w:pPr>
            <w:r>
              <w:t>其中：财政    资金</w:t>
            </w:r>
          </w:p>
        </w:tc>
        <w:tc>
          <w:tcPr>
            <w:tcW w:w="2551" w:type="dxa"/>
            <w:vAlign w:val="center"/>
          </w:tcPr>
          <w:p>
            <w:pPr>
              <w:pStyle w:val="13"/>
            </w:pPr>
            <w:r>
              <w:t>19.50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用于2025年党政密码通信系统运维费需19.5万，为提高我区党政密码通信系统故障应急处理能力及维护水平，及时发现安全隐患和网络故障的处置，确保党政密码通信系统安全可靠，高效运行。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1."2025年党政密码通信系统运维费需19.5万，为提高我区党政密码通信系统故障应急处理能力及维护水平，及时发现安全隐患和网络故障的处置，确保党政密码通信系统安全可靠，高效运行。</w:t>
            </w:r>
            <w:r>
              <w:tab/>
            </w:r>
            <w:r>
              <w:tab/>
            </w:r>
            <w:r>
              <w:tab/>
            </w:r>
            <w:r>
              <w:tab/>
            </w:r>
            <w:r>
              <w:tab/>
            </w:r>
            <w:r>
              <w:tab/>
            </w:r>
          </w:p>
          <w:p>
            <w:pPr>
              <w:pStyle w:val="13"/>
            </w:pPr>
            <w:r>
              <w:t>"</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党政密码通信系统运维数量</w:t>
            </w:r>
          </w:p>
        </w:tc>
        <w:tc>
          <w:tcPr>
            <w:tcW w:w="5386" w:type="dxa"/>
            <w:vAlign w:val="center"/>
          </w:tcPr>
          <w:p>
            <w:pPr>
              <w:pStyle w:val="13"/>
            </w:pPr>
            <w:r>
              <w:t>党政密码通信系统运维数量</w:t>
            </w:r>
          </w:p>
        </w:tc>
        <w:tc>
          <w:tcPr>
            <w:tcW w:w="2268" w:type="dxa"/>
            <w:vAlign w:val="center"/>
          </w:tcPr>
          <w:p>
            <w:pPr>
              <w:pStyle w:val="13"/>
            </w:pPr>
            <w:r>
              <w:t>≥3套</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党政密码通信系统运维合格率</w:t>
            </w:r>
          </w:p>
        </w:tc>
        <w:tc>
          <w:tcPr>
            <w:tcW w:w="5386" w:type="dxa"/>
            <w:vAlign w:val="center"/>
          </w:tcPr>
          <w:p>
            <w:pPr>
              <w:pStyle w:val="13"/>
            </w:pPr>
            <w:r>
              <w:t>党政密码通信系统运维合格率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党政密码通信系统运维时效性</w:t>
            </w:r>
          </w:p>
        </w:tc>
        <w:tc>
          <w:tcPr>
            <w:tcW w:w="5386" w:type="dxa"/>
            <w:vAlign w:val="center"/>
          </w:tcPr>
          <w:p>
            <w:pPr>
              <w:pStyle w:val="13"/>
            </w:pPr>
            <w:r>
              <w:t>党政密码通信系统运维时效性</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密码通信主渠道机房运维费用</w:t>
            </w:r>
          </w:p>
        </w:tc>
        <w:tc>
          <w:tcPr>
            <w:tcW w:w="5386" w:type="dxa"/>
            <w:vAlign w:val="center"/>
          </w:tcPr>
          <w:p>
            <w:pPr>
              <w:pStyle w:val="13"/>
            </w:pPr>
            <w:r>
              <w:t>密码通信主渠道机房运维费用</w:t>
            </w:r>
          </w:p>
        </w:tc>
        <w:tc>
          <w:tcPr>
            <w:tcW w:w="2268" w:type="dxa"/>
            <w:vAlign w:val="center"/>
          </w:tcPr>
          <w:p>
            <w:pPr>
              <w:pStyle w:val="13"/>
            </w:pPr>
            <w:r>
              <w:t>4.5万元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电子政务内网机房运维费用</w:t>
            </w:r>
          </w:p>
        </w:tc>
        <w:tc>
          <w:tcPr>
            <w:tcW w:w="5386" w:type="dxa"/>
            <w:vAlign w:val="center"/>
          </w:tcPr>
          <w:p>
            <w:pPr>
              <w:pStyle w:val="13"/>
            </w:pPr>
            <w:r>
              <w:t>电子政务内网机房运维费用</w:t>
            </w:r>
          </w:p>
        </w:tc>
        <w:tc>
          <w:tcPr>
            <w:tcW w:w="2268" w:type="dxa"/>
            <w:vAlign w:val="center"/>
          </w:tcPr>
          <w:p>
            <w:pPr>
              <w:pStyle w:val="13"/>
            </w:pPr>
            <w:r>
              <w:t>14万元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红机保密电话二级网机房运维费用</w:t>
            </w:r>
          </w:p>
        </w:tc>
        <w:tc>
          <w:tcPr>
            <w:tcW w:w="5386" w:type="dxa"/>
            <w:vAlign w:val="center"/>
          </w:tcPr>
          <w:p>
            <w:pPr>
              <w:pStyle w:val="13"/>
            </w:pPr>
            <w:r>
              <w:t>红机保密电话二级网机房运维费用</w:t>
            </w:r>
          </w:p>
        </w:tc>
        <w:tc>
          <w:tcPr>
            <w:tcW w:w="2268" w:type="dxa"/>
            <w:vAlign w:val="center"/>
          </w:tcPr>
          <w:p>
            <w:pPr>
              <w:pStyle w:val="13"/>
            </w:pPr>
            <w:r>
              <w:t>1万元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系统服务年限</w:t>
            </w:r>
          </w:p>
        </w:tc>
        <w:tc>
          <w:tcPr>
            <w:tcW w:w="5386" w:type="dxa"/>
            <w:vAlign w:val="center"/>
          </w:tcPr>
          <w:p>
            <w:pPr>
              <w:pStyle w:val="13"/>
            </w:pPr>
            <w:r>
              <w:t>系统服务年限</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5、2025年党政专用电视会议系统建设绩效目标表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13011025P00322410084C</w:t>
            </w:r>
          </w:p>
        </w:tc>
        <w:tc>
          <w:tcPr>
            <w:tcW w:w="2835" w:type="dxa"/>
            <w:vAlign w:val="center"/>
          </w:tcPr>
          <w:p>
            <w:pPr>
              <w:pStyle w:val="11"/>
            </w:pPr>
            <w:r>
              <w:t>项目名称</w:t>
            </w:r>
          </w:p>
        </w:tc>
        <w:tc>
          <w:tcPr>
            <w:tcW w:w="6095" w:type="dxa"/>
            <w:gridSpan w:val="3"/>
            <w:vAlign w:val="center"/>
          </w:tcPr>
          <w:p>
            <w:pPr>
              <w:pStyle w:val="13"/>
            </w:pPr>
            <w:r>
              <w:t>2025年党政专用电视会议系统建设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39.00</w:t>
            </w:r>
          </w:p>
        </w:tc>
        <w:tc>
          <w:tcPr>
            <w:tcW w:w="2835" w:type="dxa"/>
            <w:vAlign w:val="center"/>
          </w:tcPr>
          <w:p>
            <w:pPr>
              <w:pStyle w:val="11"/>
            </w:pPr>
            <w:r>
              <w:t>其中：财政    资金</w:t>
            </w:r>
          </w:p>
        </w:tc>
        <w:tc>
          <w:tcPr>
            <w:tcW w:w="2551" w:type="dxa"/>
            <w:vAlign w:val="center"/>
          </w:tcPr>
          <w:p>
            <w:pPr>
              <w:pStyle w:val="13"/>
            </w:pPr>
            <w:r>
              <w:t>39.00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用于建设县级党政专用会议系统设备，全面提升我县涉密电视会议和重大会议活动服务保障能力。</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1.建设县级党政专用会议系统设备，全面提升我县涉密电视会议和重大会议活动服务保障能力。</w:t>
            </w:r>
            <w:r>
              <w:tab/>
            </w:r>
            <w:r>
              <w:tab/>
            </w:r>
            <w:r>
              <w:tab/>
            </w:r>
          </w:p>
          <w:p>
            <w:pPr>
              <w:pStyle w:val="13"/>
            </w:pP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购置安装党政专用电视会议系统数量</w:t>
            </w:r>
          </w:p>
        </w:tc>
        <w:tc>
          <w:tcPr>
            <w:tcW w:w="5386" w:type="dxa"/>
            <w:vAlign w:val="center"/>
          </w:tcPr>
          <w:p>
            <w:pPr>
              <w:pStyle w:val="13"/>
            </w:pPr>
            <w:r>
              <w:t>购置安装党政专用电视会议系统数量</w:t>
            </w:r>
          </w:p>
        </w:tc>
        <w:tc>
          <w:tcPr>
            <w:tcW w:w="2268" w:type="dxa"/>
            <w:vAlign w:val="center"/>
          </w:tcPr>
          <w:p>
            <w:pPr>
              <w:pStyle w:val="13"/>
            </w:pPr>
            <w:r>
              <w:t>1套</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购置党政专用电视会议视频设备数量</w:t>
            </w:r>
          </w:p>
        </w:tc>
        <w:tc>
          <w:tcPr>
            <w:tcW w:w="5386" w:type="dxa"/>
            <w:vAlign w:val="center"/>
          </w:tcPr>
          <w:p>
            <w:pPr>
              <w:pStyle w:val="13"/>
            </w:pPr>
            <w:r>
              <w:t>购置党政专用电视会议视频设备数量</w:t>
            </w:r>
          </w:p>
        </w:tc>
        <w:tc>
          <w:tcPr>
            <w:tcW w:w="2268" w:type="dxa"/>
            <w:vAlign w:val="center"/>
          </w:tcPr>
          <w:p>
            <w:pPr>
              <w:pStyle w:val="13"/>
            </w:pPr>
            <w:r>
              <w:t>10台</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安装设备合格率</w:t>
            </w:r>
          </w:p>
        </w:tc>
        <w:tc>
          <w:tcPr>
            <w:tcW w:w="5386" w:type="dxa"/>
            <w:vAlign w:val="center"/>
          </w:tcPr>
          <w:p>
            <w:pPr>
              <w:pStyle w:val="13"/>
            </w:pPr>
            <w:r>
              <w:t>安装设备合格率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系统运营完成时效率</w:t>
            </w:r>
          </w:p>
        </w:tc>
        <w:tc>
          <w:tcPr>
            <w:tcW w:w="5386" w:type="dxa"/>
            <w:vAlign w:val="center"/>
          </w:tcPr>
          <w:p>
            <w:pPr>
              <w:pStyle w:val="13"/>
            </w:pPr>
            <w:r>
              <w:t>系统运营完成时效率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购置安装系统成本费</w:t>
            </w:r>
          </w:p>
        </w:tc>
        <w:tc>
          <w:tcPr>
            <w:tcW w:w="5386" w:type="dxa"/>
            <w:vAlign w:val="center"/>
          </w:tcPr>
          <w:p>
            <w:pPr>
              <w:pStyle w:val="13"/>
            </w:pPr>
            <w:r>
              <w:t>购置安装系统成本费</w:t>
            </w:r>
          </w:p>
        </w:tc>
        <w:tc>
          <w:tcPr>
            <w:tcW w:w="2268" w:type="dxa"/>
            <w:vAlign w:val="center"/>
          </w:tcPr>
          <w:p>
            <w:pPr>
              <w:pStyle w:val="13"/>
            </w:pPr>
            <w:r>
              <w:t>≤40万元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购置安装视频设备成本费</w:t>
            </w:r>
          </w:p>
        </w:tc>
        <w:tc>
          <w:tcPr>
            <w:tcW w:w="5386" w:type="dxa"/>
            <w:vAlign w:val="center"/>
          </w:tcPr>
          <w:p>
            <w:pPr>
              <w:pStyle w:val="13"/>
            </w:pPr>
            <w:r>
              <w:t>购置安装视频设备成本费</w:t>
            </w:r>
          </w:p>
        </w:tc>
        <w:tc>
          <w:tcPr>
            <w:tcW w:w="2268" w:type="dxa"/>
            <w:vAlign w:val="center"/>
          </w:tcPr>
          <w:p>
            <w:pPr>
              <w:pStyle w:val="13"/>
            </w:pPr>
            <w:r>
              <w:t>≤25万元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购置器具购置及其他设备成本费</w:t>
            </w:r>
          </w:p>
        </w:tc>
        <w:tc>
          <w:tcPr>
            <w:tcW w:w="5386" w:type="dxa"/>
            <w:vAlign w:val="center"/>
          </w:tcPr>
          <w:p>
            <w:pPr>
              <w:pStyle w:val="13"/>
            </w:pPr>
            <w:r>
              <w:t>购置器具购置及其他设备成本费</w:t>
            </w:r>
          </w:p>
        </w:tc>
        <w:tc>
          <w:tcPr>
            <w:tcW w:w="2268" w:type="dxa"/>
            <w:vAlign w:val="center"/>
          </w:tcPr>
          <w:p>
            <w:pPr>
              <w:pStyle w:val="13"/>
            </w:pPr>
            <w:r>
              <w:t>≤25万元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购置辅助材料施工成本费</w:t>
            </w:r>
          </w:p>
        </w:tc>
        <w:tc>
          <w:tcPr>
            <w:tcW w:w="5386" w:type="dxa"/>
            <w:vAlign w:val="center"/>
          </w:tcPr>
          <w:p>
            <w:pPr>
              <w:pStyle w:val="13"/>
            </w:pPr>
            <w:r>
              <w:t>购置辅助材料施工成本费</w:t>
            </w:r>
          </w:p>
        </w:tc>
        <w:tc>
          <w:tcPr>
            <w:tcW w:w="2268" w:type="dxa"/>
            <w:vAlign w:val="center"/>
          </w:tcPr>
          <w:p>
            <w:pPr>
              <w:pStyle w:val="13"/>
            </w:pPr>
            <w:r>
              <w:t>≤43.7万元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购置项目装修建设成本费</w:t>
            </w:r>
          </w:p>
        </w:tc>
        <w:tc>
          <w:tcPr>
            <w:tcW w:w="5386" w:type="dxa"/>
            <w:vAlign w:val="center"/>
          </w:tcPr>
          <w:p>
            <w:pPr>
              <w:pStyle w:val="13"/>
            </w:pPr>
            <w:r>
              <w:t>购置项目装修建设成本费</w:t>
            </w:r>
          </w:p>
        </w:tc>
        <w:tc>
          <w:tcPr>
            <w:tcW w:w="2268" w:type="dxa"/>
            <w:vAlign w:val="center"/>
          </w:tcPr>
          <w:p>
            <w:pPr>
              <w:pStyle w:val="13"/>
            </w:pPr>
            <w:r>
              <w:t>≤1.3万元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系统服务年限</w:t>
            </w:r>
          </w:p>
        </w:tc>
        <w:tc>
          <w:tcPr>
            <w:tcW w:w="5386" w:type="dxa"/>
            <w:vAlign w:val="center"/>
          </w:tcPr>
          <w:p>
            <w:pPr>
              <w:pStyle w:val="13"/>
            </w:pPr>
            <w:r>
              <w:t>系统服务年限</w:t>
            </w:r>
          </w:p>
        </w:tc>
        <w:tc>
          <w:tcPr>
            <w:tcW w:w="2268" w:type="dxa"/>
            <w:vAlign w:val="center"/>
          </w:tcPr>
          <w:p>
            <w:pPr>
              <w:pStyle w:val="13"/>
            </w:pPr>
            <w:r>
              <w:t>≥1年</w:t>
            </w:r>
          </w:p>
          <w:p>
            <w:pPr>
              <w:pStyle w:val="13"/>
            </w:pP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≥98%</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6、2025年电子政务内网二期工程费用绩效目标表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13011025P00322410089E</w:t>
            </w:r>
          </w:p>
        </w:tc>
        <w:tc>
          <w:tcPr>
            <w:tcW w:w="2835" w:type="dxa"/>
            <w:vAlign w:val="center"/>
          </w:tcPr>
          <w:p>
            <w:pPr>
              <w:pStyle w:val="11"/>
            </w:pPr>
            <w:r>
              <w:t>项目名称</w:t>
            </w:r>
          </w:p>
        </w:tc>
        <w:tc>
          <w:tcPr>
            <w:tcW w:w="6095" w:type="dxa"/>
            <w:gridSpan w:val="3"/>
            <w:vAlign w:val="center"/>
          </w:tcPr>
          <w:p>
            <w:pPr>
              <w:pStyle w:val="13"/>
            </w:pPr>
            <w:r>
              <w:t>2025年电子政务内网二期工程费用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用于电子政务内网二期的建设工程尾款费用。</w:t>
            </w:r>
            <w:r>
              <w:tab/>
            </w:r>
            <w:r>
              <w:tab/>
            </w:r>
            <w:r>
              <w:tab/>
            </w:r>
            <w:r>
              <w:tab/>
            </w:r>
            <w:r>
              <w:tab/>
            </w:r>
            <w:r>
              <w:tab/>
            </w:r>
          </w:p>
          <w:p>
            <w:pPr>
              <w:pStyle w:val="13"/>
            </w:pPr>
            <w:r>
              <w:tab/>
            </w:r>
            <w:r>
              <w:tab/>
            </w:r>
            <w:r>
              <w:tab/>
            </w:r>
            <w:r>
              <w:tab/>
            </w:r>
          </w:p>
          <w:p>
            <w:pPr>
              <w:pStyle w:val="13"/>
            </w:pP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1.电子政务内网二期的建设 工程尾款费用</w:t>
            </w:r>
            <w:r>
              <w:tab/>
            </w:r>
            <w:r>
              <w:tab/>
            </w:r>
            <w:r>
              <w:tab/>
            </w:r>
            <w:r>
              <w:tab/>
            </w:r>
            <w:r>
              <w:tab/>
            </w:r>
            <w:r>
              <w:tab/>
            </w:r>
          </w:p>
          <w:p>
            <w:pPr>
              <w:pStyle w:val="13"/>
            </w:pP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电子政务内网二期工程建设数量</w:t>
            </w:r>
          </w:p>
        </w:tc>
        <w:tc>
          <w:tcPr>
            <w:tcW w:w="5386" w:type="dxa"/>
            <w:vAlign w:val="center"/>
          </w:tcPr>
          <w:p>
            <w:pPr>
              <w:pStyle w:val="13"/>
            </w:pPr>
            <w:r>
              <w:t>电子政务内网二期工程建设数量</w:t>
            </w:r>
          </w:p>
        </w:tc>
        <w:tc>
          <w:tcPr>
            <w:tcW w:w="2268" w:type="dxa"/>
            <w:vAlign w:val="center"/>
          </w:tcPr>
          <w:p>
            <w:pPr>
              <w:pStyle w:val="13"/>
            </w:pPr>
            <w:r>
              <w:t>1项目</w:t>
            </w:r>
          </w:p>
        </w:tc>
        <w:tc>
          <w:tcPr>
            <w:tcW w:w="1276" w:type="dxa"/>
            <w:vAlign w:val="center"/>
          </w:tcPr>
          <w:p>
            <w:pPr>
              <w:pStyle w:val="13"/>
            </w:pPr>
            <w:r>
              <w:t>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政务内网运行畅通率</w:t>
            </w:r>
          </w:p>
        </w:tc>
        <w:tc>
          <w:tcPr>
            <w:tcW w:w="5386" w:type="dxa"/>
            <w:vAlign w:val="center"/>
          </w:tcPr>
          <w:p>
            <w:pPr>
              <w:pStyle w:val="13"/>
            </w:pPr>
            <w:r>
              <w:t>电子政务内网运行畅通率</w:t>
            </w:r>
          </w:p>
        </w:tc>
        <w:tc>
          <w:tcPr>
            <w:tcW w:w="2268" w:type="dxa"/>
            <w:vAlign w:val="center"/>
          </w:tcPr>
          <w:p>
            <w:pPr>
              <w:pStyle w:val="13"/>
            </w:pPr>
            <w:r>
              <w:t>100%</w:t>
            </w:r>
          </w:p>
        </w:tc>
        <w:tc>
          <w:tcPr>
            <w:tcW w:w="1276" w:type="dxa"/>
            <w:vAlign w:val="center"/>
          </w:tcPr>
          <w:p>
            <w:pPr>
              <w:pStyle w:val="13"/>
            </w:pPr>
            <w:r>
              <w:t>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建设工程时间</w:t>
            </w:r>
          </w:p>
        </w:tc>
        <w:tc>
          <w:tcPr>
            <w:tcW w:w="5386" w:type="dxa"/>
            <w:vAlign w:val="center"/>
          </w:tcPr>
          <w:p>
            <w:pPr>
              <w:pStyle w:val="13"/>
            </w:pPr>
            <w:r>
              <w:t>建设电子政务内网二期工程的时间</w:t>
            </w:r>
          </w:p>
        </w:tc>
        <w:tc>
          <w:tcPr>
            <w:tcW w:w="2268" w:type="dxa"/>
            <w:vAlign w:val="center"/>
          </w:tcPr>
          <w:p>
            <w:pPr>
              <w:pStyle w:val="13"/>
            </w:pPr>
            <w:r>
              <w:t>≥1年</w:t>
            </w:r>
          </w:p>
        </w:tc>
        <w:tc>
          <w:tcPr>
            <w:tcW w:w="1276" w:type="dxa"/>
            <w:vAlign w:val="center"/>
          </w:tcPr>
          <w:p>
            <w:pPr>
              <w:pStyle w:val="13"/>
            </w:pPr>
            <w:r>
              <w:t>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建设工程成本费用</w:t>
            </w:r>
          </w:p>
        </w:tc>
        <w:tc>
          <w:tcPr>
            <w:tcW w:w="5386" w:type="dxa"/>
            <w:vAlign w:val="center"/>
          </w:tcPr>
          <w:p>
            <w:pPr>
              <w:pStyle w:val="13"/>
            </w:pPr>
            <w:r>
              <w:t>建设工程成本费用</w:t>
            </w:r>
          </w:p>
        </w:tc>
        <w:tc>
          <w:tcPr>
            <w:tcW w:w="2268" w:type="dxa"/>
            <w:vAlign w:val="center"/>
          </w:tcPr>
          <w:p>
            <w:pPr>
              <w:pStyle w:val="13"/>
            </w:pPr>
            <w:r>
              <w:t>≤39.48万元</w:t>
            </w:r>
          </w:p>
          <w:p>
            <w:pPr>
              <w:pStyle w:val="13"/>
            </w:pPr>
          </w:p>
        </w:tc>
        <w:tc>
          <w:tcPr>
            <w:tcW w:w="1276" w:type="dxa"/>
            <w:vAlign w:val="center"/>
          </w:tcPr>
          <w:p>
            <w:pPr>
              <w:pStyle w:val="13"/>
            </w:pPr>
            <w:r>
              <w:t>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内网网络正常运行使用年限</w:t>
            </w:r>
          </w:p>
        </w:tc>
        <w:tc>
          <w:tcPr>
            <w:tcW w:w="5386" w:type="dxa"/>
            <w:vAlign w:val="center"/>
          </w:tcPr>
          <w:p>
            <w:pPr>
              <w:pStyle w:val="13"/>
            </w:pPr>
            <w:r>
              <w:t>内网网络正常运行使用年限</w:t>
            </w:r>
          </w:p>
        </w:tc>
        <w:tc>
          <w:tcPr>
            <w:tcW w:w="2268" w:type="dxa"/>
            <w:vAlign w:val="center"/>
          </w:tcPr>
          <w:p>
            <w:pPr>
              <w:pStyle w:val="13"/>
            </w:pPr>
            <w:r>
              <w:t>≥1年</w:t>
            </w:r>
          </w:p>
        </w:tc>
        <w:tc>
          <w:tcPr>
            <w:tcW w:w="1276" w:type="dxa"/>
            <w:vAlign w:val="center"/>
          </w:tcPr>
          <w:p>
            <w:pPr>
              <w:pStyle w:val="13"/>
            </w:pPr>
            <w:r>
              <w:t>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区委\政府领导满意率</w:t>
            </w:r>
          </w:p>
        </w:tc>
        <w:tc>
          <w:tcPr>
            <w:tcW w:w="5386" w:type="dxa"/>
            <w:vAlign w:val="center"/>
          </w:tcPr>
          <w:p>
            <w:pPr>
              <w:pStyle w:val="13"/>
            </w:pPr>
            <w:r>
              <w:t>区委\政府领导满意率</w:t>
            </w:r>
          </w:p>
        </w:tc>
        <w:tc>
          <w:tcPr>
            <w:tcW w:w="2268" w:type="dxa"/>
            <w:vAlign w:val="center"/>
          </w:tcPr>
          <w:p>
            <w:pPr>
              <w:pStyle w:val="13"/>
            </w:pPr>
            <w:r>
              <w:t>≥98%</w:t>
            </w:r>
          </w:p>
        </w:tc>
        <w:tc>
          <w:tcPr>
            <w:tcW w:w="1276" w:type="dxa"/>
            <w:vAlign w:val="center"/>
          </w:tcPr>
          <w:p>
            <w:pPr>
              <w:pStyle w:val="13"/>
            </w:pPr>
            <w:r>
              <w:t>工作安排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7、2025年会议接待绩效目标表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13011025P00322410077B</w:t>
            </w:r>
          </w:p>
        </w:tc>
        <w:tc>
          <w:tcPr>
            <w:tcW w:w="2835" w:type="dxa"/>
            <w:vAlign w:val="center"/>
          </w:tcPr>
          <w:p>
            <w:pPr>
              <w:pStyle w:val="11"/>
            </w:pPr>
            <w:r>
              <w:t>项目名称</w:t>
            </w:r>
          </w:p>
        </w:tc>
        <w:tc>
          <w:tcPr>
            <w:tcW w:w="6095" w:type="dxa"/>
            <w:gridSpan w:val="3"/>
            <w:vAlign w:val="center"/>
          </w:tcPr>
          <w:p>
            <w:pPr>
              <w:pStyle w:val="13"/>
            </w:pPr>
            <w:r>
              <w:t>2025年会议接待</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完成会议的统筹安排协调工作，做好省市领导和其他各县市区来访参观调研的公务接待工作，保障来访调研、会议工作顺利进行。</w:t>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1.完成会议的统筹安排协调工作，做好省市领导和其他各县市区来访参观调研的公务接待工作，保障来访调研、会议工作顺利进行。</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会议召开数量</w:t>
            </w:r>
          </w:p>
        </w:tc>
        <w:tc>
          <w:tcPr>
            <w:tcW w:w="5386" w:type="dxa"/>
            <w:vAlign w:val="center"/>
          </w:tcPr>
          <w:p>
            <w:pPr>
              <w:pStyle w:val="13"/>
            </w:pPr>
            <w:r>
              <w:t>会议召开数量</w:t>
            </w:r>
          </w:p>
        </w:tc>
        <w:tc>
          <w:tcPr>
            <w:tcW w:w="2268" w:type="dxa"/>
            <w:vAlign w:val="center"/>
          </w:tcPr>
          <w:p>
            <w:pPr>
              <w:pStyle w:val="13"/>
            </w:pPr>
            <w:r>
              <w:t>10场</w:t>
            </w:r>
          </w:p>
          <w:p>
            <w:pPr>
              <w:pStyle w:val="13"/>
            </w:pP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会议参会人数</w:t>
            </w:r>
          </w:p>
        </w:tc>
        <w:tc>
          <w:tcPr>
            <w:tcW w:w="5386" w:type="dxa"/>
            <w:vAlign w:val="center"/>
          </w:tcPr>
          <w:p>
            <w:pPr>
              <w:pStyle w:val="13"/>
            </w:pPr>
            <w:r>
              <w:t>会议参会人数</w:t>
            </w:r>
          </w:p>
        </w:tc>
        <w:tc>
          <w:tcPr>
            <w:tcW w:w="2268" w:type="dxa"/>
            <w:vAlign w:val="center"/>
          </w:tcPr>
          <w:p>
            <w:pPr>
              <w:pStyle w:val="13"/>
            </w:pPr>
            <w:r>
              <w:t>≥200人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会议召开天数</w:t>
            </w:r>
          </w:p>
        </w:tc>
        <w:tc>
          <w:tcPr>
            <w:tcW w:w="5386" w:type="dxa"/>
            <w:vAlign w:val="center"/>
          </w:tcPr>
          <w:p>
            <w:pPr>
              <w:pStyle w:val="13"/>
            </w:pPr>
            <w:r>
              <w:t>会议召开天数</w:t>
            </w:r>
          </w:p>
        </w:tc>
        <w:tc>
          <w:tcPr>
            <w:tcW w:w="2268" w:type="dxa"/>
            <w:vAlign w:val="center"/>
          </w:tcPr>
          <w:p>
            <w:pPr>
              <w:pStyle w:val="13"/>
            </w:pPr>
            <w:r>
              <w:t>≥10天</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会议任务完成情况</w:t>
            </w:r>
          </w:p>
        </w:tc>
        <w:tc>
          <w:tcPr>
            <w:tcW w:w="5386" w:type="dxa"/>
            <w:vAlign w:val="center"/>
          </w:tcPr>
          <w:p>
            <w:pPr>
              <w:pStyle w:val="13"/>
            </w:pPr>
            <w:r>
              <w:t>会议任务完成情况</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会议按期完成率</w:t>
            </w:r>
          </w:p>
        </w:tc>
        <w:tc>
          <w:tcPr>
            <w:tcW w:w="5386" w:type="dxa"/>
            <w:vAlign w:val="center"/>
          </w:tcPr>
          <w:p>
            <w:pPr>
              <w:pStyle w:val="13"/>
            </w:pPr>
            <w:r>
              <w:t>会议按期完成率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会议召开成本</w:t>
            </w:r>
          </w:p>
        </w:tc>
        <w:tc>
          <w:tcPr>
            <w:tcW w:w="5386" w:type="dxa"/>
            <w:vAlign w:val="center"/>
          </w:tcPr>
          <w:p>
            <w:pPr>
              <w:pStyle w:val="13"/>
            </w:pPr>
            <w:r>
              <w:t>会议召开成本</w:t>
            </w:r>
          </w:p>
        </w:tc>
        <w:tc>
          <w:tcPr>
            <w:tcW w:w="2268" w:type="dxa"/>
            <w:vAlign w:val="center"/>
          </w:tcPr>
          <w:p>
            <w:pPr>
              <w:pStyle w:val="13"/>
            </w:pPr>
            <w:r>
              <w:t>≤10万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满足会议召开，保障工作</w:t>
            </w:r>
          </w:p>
        </w:tc>
        <w:tc>
          <w:tcPr>
            <w:tcW w:w="5386" w:type="dxa"/>
            <w:vAlign w:val="center"/>
          </w:tcPr>
          <w:p>
            <w:pPr>
              <w:pStyle w:val="13"/>
            </w:pPr>
            <w:r>
              <w:t>满足会议召开，保障工作</w:t>
            </w:r>
          </w:p>
        </w:tc>
        <w:tc>
          <w:tcPr>
            <w:tcW w:w="2268" w:type="dxa"/>
            <w:vAlign w:val="center"/>
          </w:tcPr>
          <w:p>
            <w:pPr>
              <w:pStyle w:val="13"/>
            </w:pPr>
            <w:r>
              <w:t>有效提高工作</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会议满意度</w:t>
            </w:r>
          </w:p>
        </w:tc>
        <w:tc>
          <w:tcPr>
            <w:tcW w:w="5386" w:type="dxa"/>
            <w:vAlign w:val="center"/>
          </w:tcPr>
          <w:p>
            <w:pPr>
              <w:pStyle w:val="13"/>
            </w:pPr>
            <w:r>
              <w:t>会议满意度</w:t>
            </w:r>
          </w:p>
        </w:tc>
        <w:tc>
          <w:tcPr>
            <w:tcW w:w="2268" w:type="dxa"/>
            <w:vAlign w:val="center"/>
          </w:tcPr>
          <w:p>
            <w:pPr>
              <w:pStyle w:val="13"/>
            </w:pPr>
            <w:r>
              <w:t>≥98%</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8、2025年机要密码通信和管理能力现代化提升建设费用绩效目标表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13011025P00322410091D</w:t>
            </w:r>
          </w:p>
        </w:tc>
        <w:tc>
          <w:tcPr>
            <w:tcW w:w="2835" w:type="dxa"/>
            <w:vAlign w:val="center"/>
          </w:tcPr>
          <w:p>
            <w:pPr>
              <w:pStyle w:val="11"/>
            </w:pPr>
            <w:r>
              <w:t>项目名称</w:t>
            </w:r>
          </w:p>
        </w:tc>
        <w:tc>
          <w:tcPr>
            <w:tcW w:w="6095" w:type="dxa"/>
            <w:gridSpan w:val="3"/>
            <w:vAlign w:val="center"/>
          </w:tcPr>
          <w:p>
            <w:pPr>
              <w:pStyle w:val="13"/>
            </w:pPr>
            <w:r>
              <w:t>2025年机要密码通信和管理能力现代化提升建设费用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w:t>
            </w:r>
          </w:p>
        </w:tc>
        <w:tc>
          <w:tcPr>
            <w:tcW w:w="2835" w:type="dxa"/>
            <w:vAlign w:val="center"/>
          </w:tcPr>
          <w:p>
            <w:pPr>
              <w:pStyle w:val="11"/>
            </w:pPr>
            <w:r>
              <w:t>其中：财政    资金</w:t>
            </w:r>
          </w:p>
        </w:tc>
        <w:tc>
          <w:tcPr>
            <w:tcW w:w="2551" w:type="dxa"/>
            <w:vAlign w:val="center"/>
          </w:tcPr>
          <w:p>
            <w:pPr>
              <w:pStyle w:val="13"/>
            </w:pPr>
            <w:r>
              <w:t>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用于提升机要密码通信和管理能力现代化建设，对党政应急密码通信系统、机要密码综合业务平台和密码通信主渠道涉密视频会议系统进行升级，保障密码通信正常运行。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1.为提升机要密码通信和管理能力现代化建设，对党政应急密码通信系统、机要密码综合业务平台和密码通信主渠道涉密视频会议系统进行升级，保障密码通信正常运行。所需费用共计62.72万元。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机要密码通信和管理能现代化提升建设的数量</w:t>
            </w:r>
          </w:p>
        </w:tc>
        <w:tc>
          <w:tcPr>
            <w:tcW w:w="5386" w:type="dxa"/>
            <w:vAlign w:val="center"/>
          </w:tcPr>
          <w:p>
            <w:pPr>
              <w:pStyle w:val="13"/>
            </w:pPr>
            <w:r>
              <w:t>机要密码通信和管理能现代化提升建设的数量</w:t>
            </w:r>
          </w:p>
        </w:tc>
        <w:tc>
          <w:tcPr>
            <w:tcW w:w="2268" w:type="dxa"/>
            <w:vAlign w:val="center"/>
          </w:tcPr>
          <w:p>
            <w:pPr>
              <w:pStyle w:val="13"/>
            </w:pPr>
            <w:r>
              <w:t>≥3套</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机要密码通信和管理能力现代化提升建设的合格率</w:t>
            </w:r>
          </w:p>
        </w:tc>
        <w:tc>
          <w:tcPr>
            <w:tcW w:w="5386" w:type="dxa"/>
            <w:vAlign w:val="center"/>
          </w:tcPr>
          <w:p>
            <w:pPr>
              <w:pStyle w:val="13"/>
            </w:pPr>
            <w:r>
              <w:t>机要密码通信和管理能力现代化提升建设的合格率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机要密码通信和管理能力现代化提升建设的时效性</w:t>
            </w:r>
          </w:p>
        </w:tc>
        <w:tc>
          <w:tcPr>
            <w:tcW w:w="5386" w:type="dxa"/>
            <w:vAlign w:val="center"/>
          </w:tcPr>
          <w:p>
            <w:pPr>
              <w:pStyle w:val="13"/>
            </w:pPr>
            <w:r>
              <w:t>机要密码通信和管理能力现代化提升建设的时效性</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党政应急密码通信系统升级费用的成本</w:t>
            </w:r>
          </w:p>
        </w:tc>
        <w:tc>
          <w:tcPr>
            <w:tcW w:w="5386" w:type="dxa"/>
            <w:vAlign w:val="center"/>
          </w:tcPr>
          <w:p>
            <w:pPr>
              <w:pStyle w:val="13"/>
            </w:pPr>
            <w:r>
              <w:t>党政应急密码通信系统升级费用的成本</w:t>
            </w:r>
          </w:p>
        </w:tc>
        <w:tc>
          <w:tcPr>
            <w:tcW w:w="2268" w:type="dxa"/>
            <w:vAlign w:val="center"/>
          </w:tcPr>
          <w:p>
            <w:pPr>
              <w:pStyle w:val="13"/>
            </w:pPr>
            <w:r>
              <w:t>28.1万元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机要密码综合业务平台建设的成本</w:t>
            </w:r>
          </w:p>
        </w:tc>
        <w:tc>
          <w:tcPr>
            <w:tcW w:w="5386" w:type="dxa"/>
            <w:vAlign w:val="center"/>
          </w:tcPr>
          <w:p>
            <w:pPr>
              <w:pStyle w:val="13"/>
            </w:pPr>
            <w:r>
              <w:t>机要密码综合业务平台建设的成本</w:t>
            </w:r>
          </w:p>
        </w:tc>
        <w:tc>
          <w:tcPr>
            <w:tcW w:w="2268" w:type="dxa"/>
            <w:vAlign w:val="center"/>
          </w:tcPr>
          <w:p>
            <w:pPr>
              <w:pStyle w:val="13"/>
            </w:pPr>
            <w:r>
              <w:t>10.82万元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密码通信主渠道密码视频会议系统建设及配套费用的成本</w:t>
            </w:r>
          </w:p>
        </w:tc>
        <w:tc>
          <w:tcPr>
            <w:tcW w:w="5386" w:type="dxa"/>
            <w:vAlign w:val="center"/>
          </w:tcPr>
          <w:p>
            <w:pPr>
              <w:pStyle w:val="13"/>
            </w:pPr>
            <w:r>
              <w:t>密码通信主渠道密码视频会议系统建设及配套费用的成本</w:t>
            </w:r>
          </w:p>
        </w:tc>
        <w:tc>
          <w:tcPr>
            <w:tcW w:w="2268" w:type="dxa"/>
            <w:vAlign w:val="center"/>
          </w:tcPr>
          <w:p>
            <w:pPr>
              <w:pStyle w:val="13"/>
            </w:pPr>
            <w:r>
              <w:t>23.8万元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系统服务年限</w:t>
            </w:r>
          </w:p>
        </w:tc>
        <w:tc>
          <w:tcPr>
            <w:tcW w:w="5386" w:type="dxa"/>
            <w:vAlign w:val="center"/>
          </w:tcPr>
          <w:p>
            <w:pPr>
              <w:pStyle w:val="13"/>
            </w:pPr>
            <w:r>
              <w:t>系统服务年限</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9、2025年全会经费绩效目标表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13011025P00322410079J</w:t>
            </w:r>
          </w:p>
        </w:tc>
        <w:tc>
          <w:tcPr>
            <w:tcW w:w="2835" w:type="dxa"/>
            <w:vAlign w:val="center"/>
          </w:tcPr>
          <w:p>
            <w:pPr>
              <w:pStyle w:val="11"/>
            </w:pPr>
            <w:r>
              <w:t>项目名称</w:t>
            </w:r>
          </w:p>
        </w:tc>
        <w:tc>
          <w:tcPr>
            <w:tcW w:w="6095" w:type="dxa"/>
            <w:gridSpan w:val="3"/>
            <w:vAlign w:val="center"/>
          </w:tcPr>
          <w:p>
            <w:pPr>
              <w:pStyle w:val="13"/>
            </w:pPr>
            <w:r>
              <w:t>2025年全会经费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w:t>
            </w:r>
          </w:p>
        </w:tc>
        <w:tc>
          <w:tcPr>
            <w:tcW w:w="2835" w:type="dxa"/>
            <w:vAlign w:val="center"/>
          </w:tcPr>
          <w:p>
            <w:pPr>
              <w:pStyle w:val="11"/>
            </w:pPr>
            <w:r>
              <w:t>其中：财政    资金</w:t>
            </w:r>
          </w:p>
        </w:tc>
        <w:tc>
          <w:tcPr>
            <w:tcW w:w="2551" w:type="dxa"/>
            <w:vAlign w:val="center"/>
          </w:tcPr>
          <w:p>
            <w:pPr>
              <w:pStyle w:val="13"/>
            </w:pPr>
            <w:r>
              <w:t>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用于召开区委全会会议，确保圆满完成会议，进一步统一全区广大委员、党员干部群众的思想，广泛凝聚推动鹿泉高质量发展的共识。</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1.用于召开区委全会会议2次，保障参会人数，圆满完成会议，进一步统一全区广大委员、党员干部群众的思想，广泛凝聚推动鹿泉高质量发展的共识。</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会议次数</w:t>
            </w:r>
          </w:p>
        </w:tc>
        <w:tc>
          <w:tcPr>
            <w:tcW w:w="5386" w:type="dxa"/>
            <w:vAlign w:val="center"/>
          </w:tcPr>
          <w:p>
            <w:pPr>
              <w:pStyle w:val="13"/>
            </w:pPr>
            <w:r>
              <w:t>会议次数</w:t>
            </w:r>
          </w:p>
        </w:tc>
        <w:tc>
          <w:tcPr>
            <w:tcW w:w="2268" w:type="dxa"/>
            <w:vAlign w:val="center"/>
          </w:tcPr>
          <w:p>
            <w:pPr>
              <w:pStyle w:val="13"/>
            </w:pPr>
            <w:r>
              <w:t>2场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参会人员</w:t>
            </w:r>
          </w:p>
        </w:tc>
        <w:tc>
          <w:tcPr>
            <w:tcW w:w="5386" w:type="dxa"/>
            <w:vAlign w:val="center"/>
          </w:tcPr>
          <w:p>
            <w:pPr>
              <w:pStyle w:val="13"/>
            </w:pPr>
            <w:r>
              <w:t>参会人员</w:t>
            </w:r>
          </w:p>
        </w:tc>
        <w:tc>
          <w:tcPr>
            <w:tcW w:w="2268" w:type="dxa"/>
            <w:vAlign w:val="center"/>
          </w:tcPr>
          <w:p>
            <w:pPr>
              <w:pStyle w:val="13"/>
            </w:pPr>
            <w:r>
              <w:t>≥50人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会议天数</w:t>
            </w:r>
          </w:p>
        </w:tc>
        <w:tc>
          <w:tcPr>
            <w:tcW w:w="5386" w:type="dxa"/>
            <w:vAlign w:val="center"/>
          </w:tcPr>
          <w:p>
            <w:pPr>
              <w:pStyle w:val="13"/>
            </w:pPr>
            <w:r>
              <w:t>会议天数</w:t>
            </w:r>
          </w:p>
        </w:tc>
        <w:tc>
          <w:tcPr>
            <w:tcW w:w="2268" w:type="dxa"/>
            <w:vAlign w:val="center"/>
          </w:tcPr>
          <w:p>
            <w:pPr>
              <w:pStyle w:val="13"/>
            </w:pPr>
            <w:r>
              <w:t>≥10天</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组织会议完成率</w:t>
            </w:r>
          </w:p>
        </w:tc>
        <w:tc>
          <w:tcPr>
            <w:tcW w:w="5386" w:type="dxa"/>
            <w:vAlign w:val="center"/>
          </w:tcPr>
          <w:p>
            <w:pPr>
              <w:pStyle w:val="13"/>
            </w:pPr>
            <w:r>
              <w:t>组织会议的完成率</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组织会议时间</w:t>
            </w:r>
          </w:p>
        </w:tc>
        <w:tc>
          <w:tcPr>
            <w:tcW w:w="5386" w:type="dxa"/>
            <w:vAlign w:val="center"/>
          </w:tcPr>
          <w:p>
            <w:pPr>
              <w:pStyle w:val="13"/>
            </w:pPr>
            <w:r>
              <w:t>组织会议时间</w:t>
            </w:r>
          </w:p>
        </w:tc>
        <w:tc>
          <w:tcPr>
            <w:tcW w:w="2268" w:type="dxa"/>
            <w:vAlign w:val="center"/>
          </w:tcPr>
          <w:p>
            <w:pPr>
              <w:pStyle w:val="13"/>
            </w:pPr>
            <w:r>
              <w:t>≥10天</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组织会议成本</w:t>
            </w:r>
          </w:p>
        </w:tc>
        <w:tc>
          <w:tcPr>
            <w:tcW w:w="5386" w:type="dxa"/>
            <w:vAlign w:val="center"/>
          </w:tcPr>
          <w:p>
            <w:pPr>
              <w:pStyle w:val="13"/>
            </w:pPr>
            <w:r>
              <w:t>组织会议的成本费用</w:t>
            </w:r>
          </w:p>
        </w:tc>
        <w:tc>
          <w:tcPr>
            <w:tcW w:w="2268" w:type="dxa"/>
            <w:vAlign w:val="center"/>
          </w:tcPr>
          <w:p>
            <w:pPr>
              <w:pStyle w:val="13"/>
            </w:pPr>
            <w:r>
              <w:t>≥8万</w:t>
            </w:r>
          </w:p>
        </w:tc>
        <w:tc>
          <w:tcPr>
            <w:tcW w:w="1276" w:type="dxa"/>
            <w:vAlign w:val="center"/>
          </w:tcPr>
          <w:p>
            <w:pPr>
              <w:pStyle w:val="13"/>
            </w:pPr>
            <w:r>
              <w:t>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对人大代表的影响率</w:t>
            </w:r>
          </w:p>
        </w:tc>
        <w:tc>
          <w:tcPr>
            <w:tcW w:w="5386" w:type="dxa"/>
            <w:vAlign w:val="center"/>
          </w:tcPr>
          <w:p>
            <w:pPr>
              <w:pStyle w:val="13"/>
            </w:pPr>
            <w:r>
              <w:t>对人大代表的影响率</w:t>
            </w:r>
          </w:p>
        </w:tc>
        <w:tc>
          <w:tcPr>
            <w:tcW w:w="2268" w:type="dxa"/>
            <w:vAlign w:val="center"/>
          </w:tcPr>
          <w:p>
            <w:pPr>
              <w:pStyle w:val="13"/>
            </w:pPr>
            <w:r>
              <w:t>≥99%</w:t>
            </w:r>
          </w:p>
          <w:p>
            <w:pPr>
              <w:pStyle w:val="13"/>
            </w:pP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人大代表满意度</w:t>
            </w:r>
          </w:p>
        </w:tc>
        <w:tc>
          <w:tcPr>
            <w:tcW w:w="5386" w:type="dxa"/>
            <w:vAlign w:val="center"/>
          </w:tcPr>
          <w:p>
            <w:pPr>
              <w:pStyle w:val="13"/>
            </w:pPr>
            <w:r>
              <w:t>人大代表满意度</w:t>
            </w:r>
          </w:p>
        </w:tc>
        <w:tc>
          <w:tcPr>
            <w:tcW w:w="2268" w:type="dxa"/>
            <w:vAlign w:val="center"/>
          </w:tcPr>
          <w:p>
            <w:pPr>
              <w:pStyle w:val="13"/>
            </w:pPr>
            <w:r>
              <w:t>≥98%</w:t>
            </w:r>
          </w:p>
          <w:p>
            <w:pPr>
              <w:pStyle w:val="13"/>
            </w:pPr>
          </w:p>
        </w:tc>
        <w:tc>
          <w:tcPr>
            <w:tcW w:w="1276" w:type="dxa"/>
            <w:vAlign w:val="center"/>
          </w:tcPr>
          <w:p>
            <w:pPr>
              <w:pStyle w:val="13"/>
            </w:pPr>
            <w:r>
              <w:t>工作安排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10、2025年涉军工资绩效目标表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13011025P003224100850</w:t>
            </w:r>
          </w:p>
        </w:tc>
        <w:tc>
          <w:tcPr>
            <w:tcW w:w="2835" w:type="dxa"/>
            <w:vAlign w:val="center"/>
          </w:tcPr>
          <w:p>
            <w:pPr>
              <w:pStyle w:val="11"/>
            </w:pPr>
            <w:r>
              <w:t>项目名称</w:t>
            </w:r>
          </w:p>
        </w:tc>
        <w:tc>
          <w:tcPr>
            <w:tcW w:w="6095" w:type="dxa"/>
            <w:gridSpan w:val="3"/>
            <w:vAlign w:val="center"/>
          </w:tcPr>
          <w:p>
            <w:pPr>
              <w:pStyle w:val="13"/>
            </w:pPr>
            <w:r>
              <w:t>2025年涉军工资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6.30</w:t>
            </w:r>
          </w:p>
        </w:tc>
        <w:tc>
          <w:tcPr>
            <w:tcW w:w="2835" w:type="dxa"/>
            <w:vAlign w:val="center"/>
          </w:tcPr>
          <w:p>
            <w:pPr>
              <w:pStyle w:val="11"/>
            </w:pPr>
            <w:r>
              <w:t>其中：财政    资金</w:t>
            </w:r>
          </w:p>
        </w:tc>
        <w:tc>
          <w:tcPr>
            <w:tcW w:w="2551" w:type="dxa"/>
            <w:vAlign w:val="center"/>
          </w:tcPr>
          <w:p>
            <w:pPr>
              <w:pStyle w:val="13"/>
            </w:pPr>
            <w:r>
              <w:t>6.30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2025年涉军人员工资发放。</w:t>
            </w:r>
            <w:r>
              <w:tab/>
            </w:r>
            <w:r>
              <w:tab/>
            </w:r>
            <w:r>
              <w:tab/>
            </w:r>
            <w:r>
              <w:tab/>
            </w:r>
            <w:r>
              <w:tab/>
            </w:r>
            <w:r>
              <w:tab/>
            </w:r>
          </w:p>
          <w:p>
            <w:pPr>
              <w:pStyle w:val="13"/>
            </w:pP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1.2025年涉军人员工资发放。</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完成工资发放1人</w:t>
            </w:r>
          </w:p>
        </w:tc>
        <w:tc>
          <w:tcPr>
            <w:tcW w:w="5386" w:type="dxa"/>
            <w:vAlign w:val="center"/>
          </w:tcPr>
          <w:p>
            <w:pPr>
              <w:pStyle w:val="13"/>
            </w:pPr>
            <w:r>
              <w:t>完成涉军工资发放1人</w:t>
            </w:r>
          </w:p>
        </w:tc>
        <w:tc>
          <w:tcPr>
            <w:tcW w:w="2268" w:type="dxa"/>
            <w:vAlign w:val="center"/>
          </w:tcPr>
          <w:p>
            <w:pPr>
              <w:pStyle w:val="13"/>
            </w:pPr>
            <w:r>
              <w:t>1人数</w:t>
            </w:r>
          </w:p>
        </w:tc>
        <w:tc>
          <w:tcPr>
            <w:tcW w:w="1276" w:type="dxa"/>
            <w:vAlign w:val="center"/>
          </w:tcPr>
          <w:p>
            <w:pPr>
              <w:pStyle w:val="13"/>
            </w:pPr>
            <w:r>
              <w:t>鹿办文【2017】31号文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完成发放率</w:t>
            </w:r>
          </w:p>
        </w:tc>
        <w:tc>
          <w:tcPr>
            <w:tcW w:w="5386" w:type="dxa"/>
            <w:vAlign w:val="center"/>
          </w:tcPr>
          <w:p>
            <w:pPr>
              <w:pStyle w:val="13"/>
            </w:pPr>
            <w:r>
              <w:t>足额发放补贴数量占总数比率</w:t>
            </w:r>
          </w:p>
        </w:tc>
        <w:tc>
          <w:tcPr>
            <w:tcW w:w="2268" w:type="dxa"/>
            <w:vAlign w:val="center"/>
          </w:tcPr>
          <w:p>
            <w:pPr>
              <w:pStyle w:val="13"/>
            </w:pPr>
            <w:r>
              <w:t>100%</w:t>
            </w:r>
          </w:p>
        </w:tc>
        <w:tc>
          <w:tcPr>
            <w:tcW w:w="1276" w:type="dxa"/>
            <w:vAlign w:val="center"/>
          </w:tcPr>
          <w:p>
            <w:pPr>
              <w:pStyle w:val="13"/>
            </w:pPr>
            <w:r>
              <w:t>鹿办文【2017】31号文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涉军劳务派遣补贴及时发放率</w:t>
            </w:r>
          </w:p>
        </w:tc>
        <w:tc>
          <w:tcPr>
            <w:tcW w:w="5386" w:type="dxa"/>
            <w:vAlign w:val="center"/>
          </w:tcPr>
          <w:p>
            <w:pPr>
              <w:pStyle w:val="13"/>
            </w:pPr>
            <w:r>
              <w:t>涉军劳务派遣补贴及时发放占总发放次数比率</w:t>
            </w:r>
          </w:p>
        </w:tc>
        <w:tc>
          <w:tcPr>
            <w:tcW w:w="2268" w:type="dxa"/>
            <w:vAlign w:val="center"/>
          </w:tcPr>
          <w:p>
            <w:pPr>
              <w:pStyle w:val="13"/>
            </w:pPr>
            <w:r>
              <w:t>100%</w:t>
            </w:r>
          </w:p>
        </w:tc>
        <w:tc>
          <w:tcPr>
            <w:tcW w:w="1276" w:type="dxa"/>
            <w:vAlign w:val="center"/>
          </w:tcPr>
          <w:p>
            <w:pPr>
              <w:pStyle w:val="13"/>
            </w:pPr>
            <w:r>
              <w:t>鹿办文【2017】31号文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涉军劳务派遣取暖补贴</w:t>
            </w:r>
          </w:p>
        </w:tc>
        <w:tc>
          <w:tcPr>
            <w:tcW w:w="5386" w:type="dxa"/>
            <w:vAlign w:val="center"/>
          </w:tcPr>
          <w:p>
            <w:pPr>
              <w:pStyle w:val="13"/>
            </w:pPr>
            <w:r>
              <w:t>补贴标准</w:t>
            </w:r>
          </w:p>
        </w:tc>
        <w:tc>
          <w:tcPr>
            <w:tcW w:w="2268" w:type="dxa"/>
            <w:vAlign w:val="center"/>
          </w:tcPr>
          <w:p>
            <w:pPr>
              <w:pStyle w:val="13"/>
            </w:pPr>
            <w:r>
              <w:t>2200月/元</w:t>
            </w:r>
          </w:p>
        </w:tc>
        <w:tc>
          <w:tcPr>
            <w:tcW w:w="1276" w:type="dxa"/>
            <w:vAlign w:val="center"/>
          </w:tcPr>
          <w:p>
            <w:pPr>
              <w:pStyle w:val="13"/>
            </w:pPr>
            <w:r>
              <w:t>鹿办文【2017】31号文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涉军劳务派遣补贴标准</w:t>
            </w:r>
          </w:p>
          <w:p>
            <w:pPr>
              <w:pStyle w:val="13"/>
            </w:pPr>
          </w:p>
        </w:tc>
        <w:tc>
          <w:tcPr>
            <w:tcW w:w="5386" w:type="dxa"/>
            <w:vAlign w:val="center"/>
          </w:tcPr>
          <w:p>
            <w:pPr>
              <w:pStyle w:val="13"/>
            </w:pPr>
            <w:r>
              <w:t>每人每月补贴标准</w:t>
            </w:r>
          </w:p>
        </w:tc>
        <w:tc>
          <w:tcPr>
            <w:tcW w:w="2268" w:type="dxa"/>
            <w:vAlign w:val="center"/>
          </w:tcPr>
          <w:p>
            <w:pPr>
              <w:pStyle w:val="13"/>
            </w:pPr>
            <w:r>
              <w:t>3850月/元</w:t>
            </w:r>
          </w:p>
        </w:tc>
        <w:tc>
          <w:tcPr>
            <w:tcW w:w="1276" w:type="dxa"/>
            <w:vAlign w:val="center"/>
          </w:tcPr>
          <w:p>
            <w:pPr>
              <w:pStyle w:val="13"/>
            </w:pPr>
            <w:r>
              <w:t>鹿办文【2017】31号文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涉军劳务派遣单位负担保险</w:t>
            </w:r>
          </w:p>
        </w:tc>
        <w:tc>
          <w:tcPr>
            <w:tcW w:w="5386" w:type="dxa"/>
            <w:vAlign w:val="center"/>
          </w:tcPr>
          <w:p>
            <w:pPr>
              <w:pStyle w:val="13"/>
            </w:pPr>
            <w:r>
              <w:t>每人每月保险标准</w:t>
            </w:r>
          </w:p>
        </w:tc>
        <w:tc>
          <w:tcPr>
            <w:tcW w:w="2268" w:type="dxa"/>
            <w:vAlign w:val="center"/>
          </w:tcPr>
          <w:p>
            <w:pPr>
              <w:pStyle w:val="13"/>
            </w:pPr>
            <w:r>
              <w:t>1159月/元</w:t>
            </w:r>
          </w:p>
        </w:tc>
        <w:tc>
          <w:tcPr>
            <w:tcW w:w="1276" w:type="dxa"/>
            <w:vAlign w:val="center"/>
          </w:tcPr>
          <w:p>
            <w:pPr>
              <w:pStyle w:val="13"/>
            </w:pPr>
            <w:r>
              <w:t>鹿办文【2017】31号文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每人每月管理费用</w:t>
            </w:r>
          </w:p>
        </w:tc>
        <w:tc>
          <w:tcPr>
            <w:tcW w:w="5386" w:type="dxa"/>
            <w:vAlign w:val="center"/>
          </w:tcPr>
          <w:p>
            <w:pPr>
              <w:pStyle w:val="13"/>
            </w:pPr>
            <w:r>
              <w:t>每人每月管理费用</w:t>
            </w:r>
          </w:p>
        </w:tc>
        <w:tc>
          <w:tcPr>
            <w:tcW w:w="2268" w:type="dxa"/>
            <w:vAlign w:val="center"/>
          </w:tcPr>
          <w:p>
            <w:pPr>
              <w:pStyle w:val="13"/>
            </w:pPr>
            <w:r>
              <w:t>20月/元</w:t>
            </w:r>
          </w:p>
        </w:tc>
        <w:tc>
          <w:tcPr>
            <w:tcW w:w="1276" w:type="dxa"/>
            <w:vAlign w:val="center"/>
          </w:tcPr>
          <w:p>
            <w:pPr>
              <w:pStyle w:val="13"/>
            </w:pPr>
            <w:r>
              <w:t>鹿办文【2017】31号文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托管安置劳务派遣人数</w:t>
            </w:r>
          </w:p>
        </w:tc>
        <w:tc>
          <w:tcPr>
            <w:tcW w:w="5386" w:type="dxa"/>
            <w:vAlign w:val="center"/>
          </w:tcPr>
          <w:p>
            <w:pPr>
              <w:pStyle w:val="13"/>
            </w:pPr>
            <w:r>
              <w:t>托管安置劳务派遣人员数量</w:t>
            </w:r>
          </w:p>
        </w:tc>
        <w:tc>
          <w:tcPr>
            <w:tcW w:w="2268" w:type="dxa"/>
            <w:vAlign w:val="center"/>
          </w:tcPr>
          <w:p>
            <w:pPr>
              <w:pStyle w:val="13"/>
            </w:pPr>
            <w:r>
              <w:t>1人</w:t>
            </w:r>
          </w:p>
        </w:tc>
        <w:tc>
          <w:tcPr>
            <w:tcW w:w="1276" w:type="dxa"/>
            <w:vAlign w:val="center"/>
          </w:tcPr>
          <w:p>
            <w:pPr>
              <w:pStyle w:val="13"/>
            </w:pPr>
            <w:r>
              <w:t>鹿办文【2017】31号文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长期实用性</w:t>
            </w:r>
          </w:p>
        </w:tc>
        <w:tc>
          <w:tcPr>
            <w:tcW w:w="5386" w:type="dxa"/>
            <w:vAlign w:val="center"/>
          </w:tcPr>
          <w:p>
            <w:pPr>
              <w:pStyle w:val="13"/>
            </w:pPr>
            <w:r>
              <w:t>退役军人长期实用性</w:t>
            </w:r>
          </w:p>
        </w:tc>
        <w:tc>
          <w:tcPr>
            <w:tcW w:w="2268" w:type="dxa"/>
            <w:vAlign w:val="center"/>
          </w:tcPr>
          <w:p>
            <w:pPr>
              <w:pStyle w:val="13"/>
            </w:pPr>
            <w:r>
              <w:t>长期发放</w:t>
            </w:r>
          </w:p>
        </w:tc>
        <w:tc>
          <w:tcPr>
            <w:tcW w:w="1276" w:type="dxa"/>
            <w:vAlign w:val="center"/>
          </w:tcPr>
          <w:p>
            <w:pPr>
              <w:pStyle w:val="13"/>
            </w:pPr>
            <w:r>
              <w:t>鹿办文【2017】31号文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退役士兵安置满意度</w:t>
            </w:r>
          </w:p>
        </w:tc>
        <w:tc>
          <w:tcPr>
            <w:tcW w:w="5386" w:type="dxa"/>
            <w:vAlign w:val="center"/>
          </w:tcPr>
          <w:p>
            <w:pPr>
              <w:pStyle w:val="13"/>
            </w:pPr>
            <w:r>
              <w:t>安置人数占总人数的比率</w:t>
            </w:r>
          </w:p>
        </w:tc>
        <w:tc>
          <w:tcPr>
            <w:tcW w:w="2268" w:type="dxa"/>
            <w:vAlign w:val="center"/>
          </w:tcPr>
          <w:p>
            <w:pPr>
              <w:pStyle w:val="13"/>
            </w:pPr>
            <w:r>
              <w:t>≥99%</w:t>
            </w:r>
          </w:p>
        </w:tc>
        <w:tc>
          <w:tcPr>
            <w:tcW w:w="1276" w:type="dxa"/>
            <w:vAlign w:val="center"/>
          </w:tcPr>
          <w:p>
            <w:pPr>
              <w:pStyle w:val="13"/>
            </w:pPr>
            <w:r>
              <w:t>鹿办文【2017】31号文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11、2025年视联网视频调度系统服务费绩效目标表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13011025P003224100825</w:t>
            </w:r>
          </w:p>
        </w:tc>
        <w:tc>
          <w:tcPr>
            <w:tcW w:w="2835" w:type="dxa"/>
            <w:vAlign w:val="center"/>
          </w:tcPr>
          <w:p>
            <w:pPr>
              <w:pStyle w:val="11"/>
            </w:pPr>
            <w:r>
              <w:t>项目名称</w:t>
            </w:r>
          </w:p>
        </w:tc>
        <w:tc>
          <w:tcPr>
            <w:tcW w:w="6095" w:type="dxa"/>
            <w:gridSpan w:val="3"/>
            <w:vAlign w:val="center"/>
          </w:tcPr>
          <w:p>
            <w:pPr>
              <w:pStyle w:val="13"/>
            </w:pPr>
            <w:r>
              <w:t>2025年视联网视频调度系统服务费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8.10</w:t>
            </w:r>
          </w:p>
        </w:tc>
        <w:tc>
          <w:tcPr>
            <w:tcW w:w="2835" w:type="dxa"/>
            <w:vAlign w:val="center"/>
          </w:tcPr>
          <w:p>
            <w:pPr>
              <w:pStyle w:val="11"/>
            </w:pPr>
            <w:r>
              <w:t>其中：财政    资金</w:t>
            </w:r>
          </w:p>
        </w:tc>
        <w:tc>
          <w:tcPr>
            <w:tcW w:w="2551" w:type="dxa"/>
            <w:vAlign w:val="center"/>
          </w:tcPr>
          <w:p>
            <w:pPr>
              <w:pStyle w:val="13"/>
            </w:pPr>
            <w:r>
              <w:t>8.10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完成视联网视频调度系统平台年服务费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1.完成视联网视频调度系统平台年服务费</w:t>
            </w:r>
          </w:p>
          <w:p>
            <w:pPr>
              <w:pStyle w:val="13"/>
            </w:pP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系统服务保障数量</w:t>
            </w:r>
          </w:p>
        </w:tc>
        <w:tc>
          <w:tcPr>
            <w:tcW w:w="5386" w:type="dxa"/>
            <w:vAlign w:val="center"/>
          </w:tcPr>
          <w:p>
            <w:pPr>
              <w:pStyle w:val="13"/>
            </w:pPr>
            <w:r>
              <w:t>系统服务保障数量</w:t>
            </w:r>
          </w:p>
        </w:tc>
        <w:tc>
          <w:tcPr>
            <w:tcW w:w="2268" w:type="dxa"/>
            <w:vAlign w:val="center"/>
          </w:tcPr>
          <w:p>
            <w:pPr>
              <w:pStyle w:val="13"/>
            </w:pPr>
            <w:r>
              <w:t>3条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系统验收质量等合格率</w:t>
            </w:r>
          </w:p>
        </w:tc>
        <w:tc>
          <w:tcPr>
            <w:tcW w:w="5386" w:type="dxa"/>
            <w:vAlign w:val="center"/>
          </w:tcPr>
          <w:p>
            <w:pPr>
              <w:pStyle w:val="13"/>
            </w:pPr>
            <w:r>
              <w:t>系统验收质量等合格率</w:t>
            </w:r>
          </w:p>
        </w:tc>
        <w:tc>
          <w:tcPr>
            <w:tcW w:w="2268" w:type="dxa"/>
            <w:vAlign w:val="center"/>
          </w:tcPr>
          <w:p>
            <w:pPr>
              <w:pStyle w:val="13"/>
            </w:pPr>
            <w:r>
              <w:t>100%</w:t>
            </w:r>
          </w:p>
        </w:tc>
        <w:tc>
          <w:tcPr>
            <w:tcW w:w="1276" w:type="dxa"/>
            <w:vAlign w:val="center"/>
          </w:tcPr>
          <w:p>
            <w:pPr>
              <w:pStyle w:val="13"/>
            </w:pPr>
            <w:r>
              <w:t>关于贯彻落实&lt;河北省党委办公厅（室）系统信息化支撑平台及应用系统建设工作推荐方案&gt;的通知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系统平台维护运营时间</w:t>
            </w:r>
          </w:p>
        </w:tc>
        <w:tc>
          <w:tcPr>
            <w:tcW w:w="5386" w:type="dxa"/>
            <w:vAlign w:val="center"/>
          </w:tcPr>
          <w:p>
            <w:pPr>
              <w:pStyle w:val="13"/>
            </w:pPr>
            <w:r>
              <w:t>系统正常运转的平台维护运营时间</w:t>
            </w:r>
          </w:p>
        </w:tc>
        <w:tc>
          <w:tcPr>
            <w:tcW w:w="2268" w:type="dxa"/>
            <w:vAlign w:val="center"/>
          </w:tcPr>
          <w:p>
            <w:pPr>
              <w:pStyle w:val="13"/>
            </w:pPr>
            <w:r>
              <w:t>1年</w:t>
            </w:r>
          </w:p>
        </w:tc>
        <w:tc>
          <w:tcPr>
            <w:tcW w:w="1276" w:type="dxa"/>
            <w:vAlign w:val="center"/>
          </w:tcPr>
          <w:p>
            <w:pPr>
              <w:pStyle w:val="13"/>
            </w:pPr>
            <w:r>
              <w:t>关于贯彻落实&lt;河北省党委办公厅（室）系统信息化支撑平台及应用系统建设工作推荐方案&gt;的通知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系统平台服务成本费用</w:t>
            </w:r>
          </w:p>
        </w:tc>
        <w:tc>
          <w:tcPr>
            <w:tcW w:w="5386" w:type="dxa"/>
            <w:vAlign w:val="center"/>
          </w:tcPr>
          <w:p>
            <w:pPr>
              <w:pStyle w:val="13"/>
            </w:pPr>
            <w:r>
              <w:t>系统正常运转的平台服务成本费用</w:t>
            </w:r>
          </w:p>
        </w:tc>
        <w:tc>
          <w:tcPr>
            <w:tcW w:w="2268" w:type="dxa"/>
            <w:vAlign w:val="center"/>
          </w:tcPr>
          <w:p>
            <w:pPr>
              <w:pStyle w:val="13"/>
            </w:pPr>
            <w:r>
              <w:t>8.1万</w:t>
            </w:r>
          </w:p>
          <w:p>
            <w:pPr>
              <w:pStyle w:val="13"/>
            </w:pP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调度服务年限</w:t>
            </w:r>
          </w:p>
        </w:tc>
        <w:tc>
          <w:tcPr>
            <w:tcW w:w="5386" w:type="dxa"/>
            <w:vAlign w:val="center"/>
          </w:tcPr>
          <w:p>
            <w:pPr>
              <w:pStyle w:val="13"/>
            </w:pPr>
            <w:r>
              <w:t>系统调度服务年限</w:t>
            </w:r>
          </w:p>
        </w:tc>
        <w:tc>
          <w:tcPr>
            <w:tcW w:w="2268" w:type="dxa"/>
            <w:vAlign w:val="center"/>
          </w:tcPr>
          <w:p>
            <w:pPr>
              <w:pStyle w:val="13"/>
            </w:pPr>
            <w:r>
              <w:t>≥1年</w:t>
            </w:r>
          </w:p>
          <w:p>
            <w:pPr>
              <w:pStyle w:val="13"/>
            </w:pP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≥98%</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12、2025年微信群实时监管系统技术服务费绩效目标表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13011025P003224100877</w:t>
            </w:r>
          </w:p>
        </w:tc>
        <w:tc>
          <w:tcPr>
            <w:tcW w:w="2835" w:type="dxa"/>
            <w:vAlign w:val="center"/>
          </w:tcPr>
          <w:p>
            <w:pPr>
              <w:pStyle w:val="11"/>
            </w:pPr>
            <w:r>
              <w:t>项目名称</w:t>
            </w:r>
          </w:p>
        </w:tc>
        <w:tc>
          <w:tcPr>
            <w:tcW w:w="6095" w:type="dxa"/>
            <w:gridSpan w:val="3"/>
            <w:vAlign w:val="center"/>
          </w:tcPr>
          <w:p>
            <w:pPr>
              <w:pStyle w:val="13"/>
            </w:pPr>
            <w:r>
              <w:t>2025年微信群实时监管系统技术服务费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19.80</w:t>
            </w:r>
          </w:p>
        </w:tc>
        <w:tc>
          <w:tcPr>
            <w:tcW w:w="2835" w:type="dxa"/>
            <w:vAlign w:val="center"/>
          </w:tcPr>
          <w:p>
            <w:pPr>
              <w:pStyle w:val="11"/>
            </w:pPr>
            <w:r>
              <w:t>其中：财政    资金</w:t>
            </w:r>
          </w:p>
        </w:tc>
        <w:tc>
          <w:tcPr>
            <w:tcW w:w="2551" w:type="dxa"/>
            <w:vAlign w:val="center"/>
          </w:tcPr>
          <w:p>
            <w:pPr>
              <w:pStyle w:val="13"/>
            </w:pPr>
            <w:r>
              <w:t>19.80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用于保障微信群实时监测系统1套正常运转，加强对我区微信工作群监管力度，防止失泄密事件发生，确保党和国家秘密绝对安全。</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1.保障微信群实时监测系统1套正常运转，加强对我区微信工作群监管力度，防止失泄密事件发生，确保党和国家秘密绝对安全。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微信群实时监测系统数量</w:t>
            </w:r>
          </w:p>
        </w:tc>
        <w:tc>
          <w:tcPr>
            <w:tcW w:w="5386" w:type="dxa"/>
            <w:vAlign w:val="center"/>
          </w:tcPr>
          <w:p>
            <w:pPr>
              <w:pStyle w:val="13"/>
            </w:pPr>
            <w:r>
              <w:t>购置微信群实时监测系统</w:t>
            </w:r>
          </w:p>
        </w:tc>
        <w:tc>
          <w:tcPr>
            <w:tcW w:w="2268" w:type="dxa"/>
            <w:vAlign w:val="center"/>
          </w:tcPr>
          <w:p>
            <w:pPr>
              <w:pStyle w:val="13"/>
            </w:pPr>
            <w:r>
              <w:t>1套</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购置设备合格率</w:t>
            </w:r>
          </w:p>
        </w:tc>
        <w:tc>
          <w:tcPr>
            <w:tcW w:w="5386" w:type="dxa"/>
            <w:vAlign w:val="center"/>
          </w:tcPr>
          <w:p>
            <w:pPr>
              <w:pStyle w:val="13"/>
            </w:pPr>
            <w:r>
              <w:t>购置设备合格率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系统运营维护时效率</w:t>
            </w:r>
          </w:p>
        </w:tc>
        <w:tc>
          <w:tcPr>
            <w:tcW w:w="5386" w:type="dxa"/>
            <w:vAlign w:val="center"/>
          </w:tcPr>
          <w:p>
            <w:pPr>
              <w:pStyle w:val="13"/>
            </w:pPr>
            <w:r>
              <w:t>系统运营维护时效率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购置系统成本</w:t>
            </w:r>
          </w:p>
        </w:tc>
        <w:tc>
          <w:tcPr>
            <w:tcW w:w="5386" w:type="dxa"/>
            <w:vAlign w:val="center"/>
          </w:tcPr>
          <w:p>
            <w:pPr>
              <w:pStyle w:val="13"/>
            </w:pPr>
            <w:r>
              <w:t>2024年微信群监管平台运维费用</w:t>
            </w:r>
          </w:p>
        </w:tc>
        <w:tc>
          <w:tcPr>
            <w:tcW w:w="2268" w:type="dxa"/>
            <w:vAlign w:val="center"/>
          </w:tcPr>
          <w:p>
            <w:pPr>
              <w:pStyle w:val="13"/>
            </w:pPr>
            <w:r>
              <w:t>19.8万</w:t>
            </w:r>
          </w:p>
          <w:p>
            <w:pPr>
              <w:pStyle w:val="13"/>
            </w:pP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购置系统成本</w:t>
            </w:r>
          </w:p>
        </w:tc>
        <w:tc>
          <w:tcPr>
            <w:tcW w:w="5386" w:type="dxa"/>
            <w:vAlign w:val="center"/>
          </w:tcPr>
          <w:p>
            <w:pPr>
              <w:pStyle w:val="13"/>
            </w:pPr>
            <w:r>
              <w:t>2025年微信群监管平台运维费用</w:t>
            </w:r>
          </w:p>
        </w:tc>
        <w:tc>
          <w:tcPr>
            <w:tcW w:w="2268" w:type="dxa"/>
            <w:vAlign w:val="center"/>
          </w:tcPr>
          <w:p>
            <w:pPr>
              <w:pStyle w:val="13"/>
            </w:pPr>
            <w:r>
              <w:t>19.8万</w:t>
            </w:r>
          </w:p>
          <w:p>
            <w:pPr>
              <w:pStyle w:val="13"/>
            </w:pP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系统服务年限</w:t>
            </w:r>
          </w:p>
        </w:tc>
        <w:tc>
          <w:tcPr>
            <w:tcW w:w="5386" w:type="dxa"/>
            <w:vAlign w:val="center"/>
          </w:tcPr>
          <w:p>
            <w:pPr>
              <w:pStyle w:val="13"/>
            </w:pPr>
            <w:r>
              <w:t>系统服务年限</w:t>
            </w:r>
          </w:p>
        </w:tc>
        <w:tc>
          <w:tcPr>
            <w:tcW w:w="2268" w:type="dxa"/>
            <w:vAlign w:val="center"/>
          </w:tcPr>
          <w:p>
            <w:pPr>
              <w:pStyle w:val="13"/>
            </w:pPr>
            <w:r>
              <w:t>≥1年</w:t>
            </w:r>
          </w:p>
          <w:p>
            <w:pPr>
              <w:pStyle w:val="13"/>
            </w:pP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≥98%</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13、2025年宣传推介费绩效目标表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13011025P00322410078Y</w:t>
            </w:r>
          </w:p>
        </w:tc>
        <w:tc>
          <w:tcPr>
            <w:tcW w:w="2835" w:type="dxa"/>
            <w:vAlign w:val="center"/>
          </w:tcPr>
          <w:p>
            <w:pPr>
              <w:pStyle w:val="11"/>
            </w:pPr>
            <w:r>
              <w:t>项目名称</w:t>
            </w:r>
          </w:p>
        </w:tc>
        <w:tc>
          <w:tcPr>
            <w:tcW w:w="6095" w:type="dxa"/>
            <w:gridSpan w:val="3"/>
            <w:vAlign w:val="center"/>
          </w:tcPr>
          <w:p>
            <w:pPr>
              <w:pStyle w:val="13"/>
            </w:pPr>
            <w:r>
              <w:t>2025年宣传推介费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w:t>
            </w:r>
          </w:p>
        </w:tc>
        <w:tc>
          <w:tcPr>
            <w:tcW w:w="2835" w:type="dxa"/>
            <w:vAlign w:val="center"/>
          </w:tcPr>
          <w:p>
            <w:pPr>
              <w:pStyle w:val="11"/>
            </w:pPr>
            <w:r>
              <w:t>其中：财政    资金</w:t>
            </w:r>
          </w:p>
        </w:tc>
        <w:tc>
          <w:tcPr>
            <w:tcW w:w="2551" w:type="dxa"/>
            <w:vAlign w:val="center"/>
          </w:tcPr>
          <w:p>
            <w:pPr>
              <w:pStyle w:val="13"/>
            </w:pPr>
            <w:r>
              <w:t>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组织宣传活动，吸引更多的外商前来鹿泉学习考察，并对鹿泉的建设招揽商机和资金有所帮助。</w:t>
            </w:r>
            <w:r>
              <w:tab/>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1.组织对外联络不少于3次，组织宣传活动不少于5次，吸引更多的外商前来鹿泉学习考察，并对鹿泉的建设招揽商机和资金有所帮助。</w:t>
            </w:r>
            <w:r>
              <w:tab/>
            </w:r>
            <w:r>
              <w:tab/>
            </w:r>
            <w:r>
              <w:tab/>
            </w:r>
            <w:r>
              <w:tab/>
            </w:r>
            <w:r>
              <w:tab/>
            </w:r>
            <w:r>
              <w:tab/>
            </w:r>
          </w:p>
          <w:p>
            <w:pPr>
              <w:pStyle w:val="13"/>
            </w:pP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对外联络次数</w:t>
            </w:r>
          </w:p>
        </w:tc>
        <w:tc>
          <w:tcPr>
            <w:tcW w:w="5386" w:type="dxa"/>
            <w:vAlign w:val="center"/>
          </w:tcPr>
          <w:p>
            <w:pPr>
              <w:pStyle w:val="13"/>
            </w:pPr>
            <w:r>
              <w:t>对外联络次数</w:t>
            </w:r>
          </w:p>
        </w:tc>
        <w:tc>
          <w:tcPr>
            <w:tcW w:w="2268" w:type="dxa"/>
            <w:vAlign w:val="center"/>
          </w:tcPr>
          <w:p>
            <w:pPr>
              <w:pStyle w:val="13"/>
            </w:pPr>
            <w:r>
              <w:t>≥3次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对外宣传次数</w:t>
            </w:r>
          </w:p>
        </w:tc>
        <w:tc>
          <w:tcPr>
            <w:tcW w:w="5386" w:type="dxa"/>
            <w:vAlign w:val="center"/>
          </w:tcPr>
          <w:p>
            <w:pPr>
              <w:pStyle w:val="13"/>
            </w:pPr>
            <w:r>
              <w:t>对外宣传次数</w:t>
            </w:r>
          </w:p>
        </w:tc>
        <w:tc>
          <w:tcPr>
            <w:tcW w:w="2268" w:type="dxa"/>
            <w:vAlign w:val="center"/>
          </w:tcPr>
          <w:p>
            <w:pPr>
              <w:pStyle w:val="13"/>
            </w:pPr>
            <w:r>
              <w:t>≥5次</w:t>
            </w:r>
          </w:p>
          <w:p>
            <w:pPr>
              <w:pStyle w:val="13"/>
            </w:pP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宣传推介的综合任务完成率</w:t>
            </w:r>
          </w:p>
        </w:tc>
        <w:tc>
          <w:tcPr>
            <w:tcW w:w="5386" w:type="dxa"/>
            <w:vAlign w:val="center"/>
          </w:tcPr>
          <w:p>
            <w:pPr>
              <w:pStyle w:val="13"/>
            </w:pPr>
            <w:r>
              <w:t>宣传推介的综合任务完成率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组织宣传活动时间</w:t>
            </w:r>
          </w:p>
        </w:tc>
        <w:tc>
          <w:tcPr>
            <w:tcW w:w="5386" w:type="dxa"/>
            <w:vAlign w:val="center"/>
          </w:tcPr>
          <w:p>
            <w:pPr>
              <w:pStyle w:val="13"/>
            </w:pPr>
            <w:r>
              <w:t>组织宣传活动时间</w:t>
            </w:r>
          </w:p>
        </w:tc>
        <w:tc>
          <w:tcPr>
            <w:tcW w:w="2268" w:type="dxa"/>
            <w:vAlign w:val="center"/>
          </w:tcPr>
          <w:p>
            <w:pPr>
              <w:pStyle w:val="13"/>
            </w:pPr>
            <w:r>
              <w:t>≥20天</w:t>
            </w:r>
          </w:p>
        </w:tc>
        <w:tc>
          <w:tcPr>
            <w:tcW w:w="1276" w:type="dxa"/>
            <w:vAlign w:val="center"/>
          </w:tcPr>
          <w:p>
            <w:pPr>
              <w:pStyle w:val="13"/>
            </w:pPr>
            <w:r>
              <w:t>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组织宣传成本</w:t>
            </w:r>
          </w:p>
        </w:tc>
        <w:tc>
          <w:tcPr>
            <w:tcW w:w="5386" w:type="dxa"/>
            <w:vAlign w:val="center"/>
          </w:tcPr>
          <w:p>
            <w:pPr>
              <w:pStyle w:val="13"/>
            </w:pPr>
            <w:r>
              <w:t>组织宣传成本</w:t>
            </w:r>
          </w:p>
        </w:tc>
        <w:tc>
          <w:tcPr>
            <w:tcW w:w="2268" w:type="dxa"/>
            <w:vAlign w:val="center"/>
          </w:tcPr>
          <w:p>
            <w:pPr>
              <w:pStyle w:val="13"/>
            </w:pPr>
            <w:r>
              <w:t>≤8万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反映我区知名度和美誉度,吸引更多客商来区投资的效果</w:t>
            </w:r>
          </w:p>
        </w:tc>
        <w:tc>
          <w:tcPr>
            <w:tcW w:w="5386" w:type="dxa"/>
            <w:vAlign w:val="center"/>
          </w:tcPr>
          <w:p>
            <w:pPr>
              <w:pStyle w:val="13"/>
            </w:pPr>
            <w:r>
              <w:t>反映我区知名度和美誉度,吸引更多客商来区投资的效果</w:t>
            </w:r>
          </w:p>
        </w:tc>
        <w:tc>
          <w:tcPr>
            <w:tcW w:w="2268" w:type="dxa"/>
            <w:vAlign w:val="center"/>
          </w:tcPr>
          <w:p>
            <w:pPr>
              <w:pStyle w:val="13"/>
            </w:pPr>
            <w:r>
              <w:t>≥3次</w:t>
            </w:r>
          </w:p>
          <w:p>
            <w:pPr>
              <w:pStyle w:val="13"/>
            </w:pP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业务收入、利润增长率</w:t>
            </w:r>
          </w:p>
        </w:tc>
        <w:tc>
          <w:tcPr>
            <w:tcW w:w="5386" w:type="dxa"/>
            <w:vAlign w:val="center"/>
          </w:tcPr>
          <w:p>
            <w:pPr>
              <w:pStyle w:val="13"/>
            </w:pPr>
            <w:r>
              <w:t>业务收入、利润增长率</w:t>
            </w:r>
          </w:p>
        </w:tc>
        <w:tc>
          <w:tcPr>
            <w:tcW w:w="2268" w:type="dxa"/>
            <w:vAlign w:val="center"/>
          </w:tcPr>
          <w:p>
            <w:pPr>
              <w:pStyle w:val="13"/>
            </w:pPr>
            <w:r>
              <w:t>≥5%</w:t>
            </w:r>
          </w:p>
          <w:p>
            <w:pPr>
              <w:pStyle w:val="13"/>
            </w:pP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宣传政策知晓率</w:t>
            </w:r>
          </w:p>
        </w:tc>
        <w:tc>
          <w:tcPr>
            <w:tcW w:w="5386" w:type="dxa"/>
            <w:vAlign w:val="center"/>
          </w:tcPr>
          <w:p>
            <w:pPr>
              <w:pStyle w:val="13"/>
            </w:pPr>
            <w:r>
              <w:t>宣传政策知晓率</w:t>
            </w:r>
          </w:p>
        </w:tc>
        <w:tc>
          <w:tcPr>
            <w:tcW w:w="2268" w:type="dxa"/>
            <w:vAlign w:val="center"/>
          </w:tcPr>
          <w:p>
            <w:pPr>
              <w:pStyle w:val="13"/>
            </w:pPr>
            <w:r>
              <w:t>≥10次</w:t>
            </w:r>
          </w:p>
          <w:p>
            <w:pPr>
              <w:pStyle w:val="13"/>
            </w:pP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宣传对象满意度(%)</w:t>
            </w:r>
          </w:p>
        </w:tc>
        <w:tc>
          <w:tcPr>
            <w:tcW w:w="5386" w:type="dxa"/>
            <w:vAlign w:val="center"/>
          </w:tcPr>
          <w:p>
            <w:pPr>
              <w:pStyle w:val="13"/>
            </w:pPr>
            <w:r>
              <w:t>宣传对象满意度(%)</w:t>
            </w:r>
          </w:p>
        </w:tc>
        <w:tc>
          <w:tcPr>
            <w:tcW w:w="2268" w:type="dxa"/>
            <w:vAlign w:val="center"/>
          </w:tcPr>
          <w:p>
            <w:pPr>
              <w:pStyle w:val="13"/>
            </w:pPr>
            <w:r>
              <w:t>≥98%</w:t>
            </w:r>
          </w:p>
          <w:p>
            <w:pPr>
              <w:pStyle w:val="13"/>
            </w:pPr>
          </w:p>
        </w:tc>
        <w:tc>
          <w:tcPr>
            <w:tcW w:w="1276" w:type="dxa"/>
            <w:vAlign w:val="center"/>
          </w:tcPr>
          <w:p>
            <w:pPr>
              <w:pStyle w:val="13"/>
            </w:pPr>
            <w:r>
              <w:t>工作安排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14、2025年因公出国绩效目标表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13011025P00322410080X</w:t>
            </w:r>
          </w:p>
        </w:tc>
        <w:tc>
          <w:tcPr>
            <w:tcW w:w="2835" w:type="dxa"/>
            <w:vAlign w:val="center"/>
          </w:tcPr>
          <w:p>
            <w:pPr>
              <w:pStyle w:val="11"/>
            </w:pPr>
            <w:r>
              <w:t>项目名称</w:t>
            </w:r>
          </w:p>
        </w:tc>
        <w:tc>
          <w:tcPr>
            <w:tcW w:w="6095" w:type="dxa"/>
            <w:gridSpan w:val="3"/>
            <w:vAlign w:val="center"/>
          </w:tcPr>
          <w:p>
            <w:pPr>
              <w:pStyle w:val="13"/>
            </w:pPr>
            <w:r>
              <w:t>2025年因公出国</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7.50</w:t>
            </w:r>
          </w:p>
        </w:tc>
        <w:tc>
          <w:tcPr>
            <w:tcW w:w="2835" w:type="dxa"/>
            <w:vAlign w:val="center"/>
          </w:tcPr>
          <w:p>
            <w:pPr>
              <w:pStyle w:val="11"/>
            </w:pPr>
            <w:r>
              <w:t>其中：财政    资金</w:t>
            </w:r>
          </w:p>
        </w:tc>
        <w:tc>
          <w:tcPr>
            <w:tcW w:w="2551" w:type="dxa"/>
            <w:vAlign w:val="center"/>
          </w:tcPr>
          <w:p>
            <w:pPr>
              <w:pStyle w:val="13"/>
            </w:pPr>
            <w:r>
              <w:t>7.50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用于因公出国，以达到推介鹿泉经济开发区，引进国家知名企业的效果。</w:t>
            </w:r>
            <w:r>
              <w:tab/>
            </w:r>
            <w:r>
              <w:tab/>
            </w:r>
            <w:r>
              <w:tab/>
            </w:r>
            <w:r>
              <w:tab/>
            </w:r>
            <w:r>
              <w:tab/>
            </w:r>
            <w:r>
              <w:tab/>
            </w:r>
          </w:p>
          <w:p>
            <w:pPr>
              <w:pStyle w:val="13"/>
            </w:pP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1.该项目资金用于因公出国两个国家，以达到推介鹿泉经济开发区，引进国家知名企业的效果。</w:t>
            </w:r>
            <w:r>
              <w:tab/>
            </w:r>
            <w:r>
              <w:tab/>
            </w:r>
            <w:r>
              <w:tab/>
            </w:r>
            <w:r>
              <w:tab/>
            </w:r>
            <w:r>
              <w:tab/>
            </w:r>
            <w:r>
              <w:tab/>
            </w:r>
          </w:p>
          <w:p>
            <w:pPr>
              <w:pStyle w:val="13"/>
            </w:pP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赴国外学习人数</w:t>
            </w:r>
          </w:p>
        </w:tc>
        <w:tc>
          <w:tcPr>
            <w:tcW w:w="5386" w:type="dxa"/>
            <w:vAlign w:val="center"/>
          </w:tcPr>
          <w:p>
            <w:pPr>
              <w:pStyle w:val="13"/>
            </w:pPr>
            <w:r>
              <w:t>赴国外学习人数</w:t>
            </w:r>
          </w:p>
        </w:tc>
        <w:tc>
          <w:tcPr>
            <w:tcW w:w="2268" w:type="dxa"/>
            <w:vAlign w:val="center"/>
          </w:tcPr>
          <w:p>
            <w:pPr>
              <w:pStyle w:val="13"/>
            </w:pPr>
            <w:r>
              <w:t>≥2人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赴国外学习完成率</w:t>
            </w:r>
          </w:p>
        </w:tc>
        <w:tc>
          <w:tcPr>
            <w:tcW w:w="5386" w:type="dxa"/>
            <w:vAlign w:val="center"/>
          </w:tcPr>
          <w:p>
            <w:pPr>
              <w:pStyle w:val="13"/>
            </w:pPr>
            <w:r>
              <w:t>赴国外学习完成率</w:t>
            </w:r>
          </w:p>
        </w:tc>
        <w:tc>
          <w:tcPr>
            <w:tcW w:w="2268" w:type="dxa"/>
            <w:vAlign w:val="center"/>
          </w:tcPr>
          <w:p>
            <w:pPr>
              <w:pStyle w:val="13"/>
            </w:pPr>
            <w:r>
              <w:t>≥90%</w:t>
            </w:r>
          </w:p>
          <w:p>
            <w:pPr>
              <w:pStyle w:val="13"/>
            </w:pPr>
          </w:p>
        </w:tc>
        <w:tc>
          <w:tcPr>
            <w:tcW w:w="1276" w:type="dxa"/>
            <w:vAlign w:val="center"/>
          </w:tcPr>
          <w:p>
            <w:pPr>
              <w:pStyle w:val="13"/>
            </w:pPr>
            <w:r>
              <w:t>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赴国外学习时间</w:t>
            </w:r>
          </w:p>
        </w:tc>
        <w:tc>
          <w:tcPr>
            <w:tcW w:w="5386" w:type="dxa"/>
            <w:vAlign w:val="center"/>
          </w:tcPr>
          <w:p>
            <w:pPr>
              <w:pStyle w:val="13"/>
            </w:pPr>
            <w:r>
              <w:t>赴国外学习时间</w:t>
            </w:r>
          </w:p>
        </w:tc>
        <w:tc>
          <w:tcPr>
            <w:tcW w:w="2268" w:type="dxa"/>
            <w:vAlign w:val="center"/>
          </w:tcPr>
          <w:p>
            <w:pPr>
              <w:pStyle w:val="13"/>
            </w:pPr>
            <w:r>
              <w:t>≥14天</w:t>
            </w:r>
          </w:p>
        </w:tc>
        <w:tc>
          <w:tcPr>
            <w:tcW w:w="1276" w:type="dxa"/>
            <w:vAlign w:val="center"/>
          </w:tcPr>
          <w:p>
            <w:pPr>
              <w:pStyle w:val="13"/>
            </w:pPr>
            <w:r>
              <w:t>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赴国外学习成本</w:t>
            </w:r>
          </w:p>
        </w:tc>
        <w:tc>
          <w:tcPr>
            <w:tcW w:w="5386" w:type="dxa"/>
            <w:vAlign w:val="center"/>
          </w:tcPr>
          <w:p>
            <w:pPr>
              <w:pStyle w:val="13"/>
            </w:pPr>
            <w:r>
              <w:t>赴国外学习成本</w:t>
            </w:r>
          </w:p>
        </w:tc>
        <w:tc>
          <w:tcPr>
            <w:tcW w:w="2268" w:type="dxa"/>
            <w:vAlign w:val="center"/>
          </w:tcPr>
          <w:p>
            <w:pPr>
              <w:pStyle w:val="13"/>
            </w:pPr>
            <w:r>
              <w:t>≤7.5万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培育、吸引外商，提高鹿泉经济水平率</w:t>
            </w:r>
          </w:p>
        </w:tc>
        <w:tc>
          <w:tcPr>
            <w:tcW w:w="5386" w:type="dxa"/>
            <w:vAlign w:val="center"/>
          </w:tcPr>
          <w:p>
            <w:pPr>
              <w:pStyle w:val="13"/>
            </w:pPr>
            <w:r>
              <w:t>培育、吸引外商，提高鹿泉经济水平率</w:t>
            </w:r>
          </w:p>
        </w:tc>
        <w:tc>
          <w:tcPr>
            <w:tcW w:w="2268" w:type="dxa"/>
            <w:vAlign w:val="center"/>
          </w:tcPr>
          <w:p>
            <w:pPr>
              <w:pStyle w:val="13"/>
            </w:pPr>
            <w:r>
              <w:t>≥10%</w:t>
            </w:r>
          </w:p>
          <w:p>
            <w:pPr>
              <w:pStyle w:val="13"/>
            </w:pP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走访企业满意度</w:t>
            </w:r>
          </w:p>
        </w:tc>
        <w:tc>
          <w:tcPr>
            <w:tcW w:w="5386" w:type="dxa"/>
            <w:vAlign w:val="center"/>
          </w:tcPr>
          <w:p>
            <w:pPr>
              <w:pStyle w:val="13"/>
            </w:pPr>
            <w:r>
              <w:t>走访企业满意度</w:t>
            </w:r>
          </w:p>
        </w:tc>
        <w:tc>
          <w:tcPr>
            <w:tcW w:w="2268" w:type="dxa"/>
            <w:vAlign w:val="center"/>
          </w:tcPr>
          <w:p>
            <w:pPr>
              <w:pStyle w:val="13"/>
            </w:pPr>
            <w:r>
              <w:t>≥98%</w:t>
            </w:r>
          </w:p>
        </w:tc>
        <w:tc>
          <w:tcPr>
            <w:tcW w:w="1276" w:type="dxa"/>
            <w:vAlign w:val="center"/>
          </w:tcPr>
          <w:p>
            <w:pPr>
              <w:pStyle w:val="13"/>
            </w:pPr>
            <w:r>
              <w:t>工作安排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15、2025年专项公用经费绩效目标表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13011025P00322410083Q</w:t>
            </w:r>
          </w:p>
        </w:tc>
        <w:tc>
          <w:tcPr>
            <w:tcW w:w="2835" w:type="dxa"/>
            <w:vAlign w:val="center"/>
          </w:tcPr>
          <w:p>
            <w:pPr>
              <w:pStyle w:val="11"/>
            </w:pPr>
            <w:r>
              <w:t>项目名称</w:t>
            </w:r>
          </w:p>
        </w:tc>
        <w:tc>
          <w:tcPr>
            <w:tcW w:w="6095" w:type="dxa"/>
            <w:gridSpan w:val="3"/>
            <w:vAlign w:val="center"/>
          </w:tcPr>
          <w:p>
            <w:pPr>
              <w:pStyle w:val="13"/>
            </w:pPr>
            <w:r>
              <w:t>2025年专项公用经费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70.00</w:t>
            </w:r>
          </w:p>
        </w:tc>
        <w:tc>
          <w:tcPr>
            <w:tcW w:w="2835" w:type="dxa"/>
            <w:vAlign w:val="center"/>
          </w:tcPr>
          <w:p>
            <w:pPr>
              <w:pStyle w:val="11"/>
            </w:pPr>
            <w:r>
              <w:t>其中：财政    资金</w:t>
            </w:r>
          </w:p>
        </w:tc>
        <w:tc>
          <w:tcPr>
            <w:tcW w:w="2551" w:type="dxa"/>
            <w:vAlign w:val="center"/>
          </w:tcPr>
          <w:p>
            <w:pPr>
              <w:pStyle w:val="13"/>
            </w:pPr>
            <w:r>
              <w:t>70.00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用于材料印刷、区委全面深化改革委员会办公室、区委国家安全委员会日常办公教育培训等保障两个区委议事协调机构日常运转</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1."材料印刷一年不少于20次，实际以上文件印刷，各局乡镇文件的下发，以确保工作落实到实处</w:t>
            </w:r>
            <w:r>
              <w:tab/>
            </w:r>
            <w:r>
              <w:tab/>
            </w:r>
            <w:r>
              <w:tab/>
            </w:r>
            <w:r>
              <w:tab/>
            </w:r>
            <w:r>
              <w:tab/>
            </w:r>
            <w:r>
              <w:tab/>
            </w:r>
          </w:p>
          <w:p>
            <w:pPr>
              <w:pStyle w:val="13"/>
            </w:pPr>
            <w:r>
              <w:tab/>
            </w:r>
            <w:r>
              <w:tab/>
            </w:r>
            <w:r>
              <w:tab/>
            </w:r>
            <w:r>
              <w:tab/>
            </w:r>
            <w:r>
              <w:tab/>
            </w:r>
          </w:p>
          <w:p>
            <w:pPr>
              <w:pStyle w:val="13"/>
            </w:pPr>
          </w:p>
          <w:p>
            <w:pPr>
              <w:pStyle w:val="13"/>
            </w:pPr>
            <w:r>
              <w:t>2."用于区委全面深化改革委员会办公室\区委国家安全委员会日常办公教育培训等保障两个区委议事协调机构日常运转</w:t>
            </w:r>
            <w:r>
              <w:tab/>
            </w:r>
            <w:r>
              <w:tab/>
            </w:r>
            <w:r>
              <w:tab/>
            </w:r>
            <w:r>
              <w:tab/>
            </w:r>
            <w:r>
              <w:tab/>
            </w:r>
            <w:r>
              <w:tab/>
            </w:r>
          </w:p>
          <w:p>
            <w:pPr>
              <w:pStyle w:val="13"/>
            </w:pPr>
            <w:r>
              <w:tab/>
            </w:r>
            <w:r>
              <w:tab/>
            </w:r>
            <w:r>
              <w:tab/>
            </w:r>
            <w:r>
              <w:tab/>
            </w:r>
            <w:r>
              <w:tab/>
            </w:r>
            <w:r>
              <w:tab/>
            </w:r>
          </w:p>
          <w:p>
            <w:pPr>
              <w:pStyle w:val="13"/>
            </w:pP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文件材料印刷次数</w:t>
            </w:r>
          </w:p>
        </w:tc>
        <w:tc>
          <w:tcPr>
            <w:tcW w:w="5386" w:type="dxa"/>
            <w:vAlign w:val="center"/>
          </w:tcPr>
          <w:p>
            <w:pPr>
              <w:pStyle w:val="13"/>
            </w:pPr>
            <w:r>
              <w:t>文件材料印刷次数</w:t>
            </w:r>
          </w:p>
        </w:tc>
        <w:tc>
          <w:tcPr>
            <w:tcW w:w="2268" w:type="dxa"/>
            <w:vAlign w:val="center"/>
          </w:tcPr>
          <w:p>
            <w:pPr>
              <w:pStyle w:val="13"/>
            </w:pPr>
            <w:r>
              <w:t>20次</w:t>
            </w:r>
          </w:p>
          <w:p>
            <w:pPr>
              <w:pStyle w:val="13"/>
            </w:pPr>
          </w:p>
        </w:tc>
        <w:tc>
          <w:tcPr>
            <w:tcW w:w="1276" w:type="dxa"/>
            <w:vAlign w:val="center"/>
          </w:tcPr>
          <w:p>
            <w:pPr>
              <w:pStyle w:val="13"/>
            </w:pPr>
            <w:r>
              <w:t>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组织保密机要培训数量</w:t>
            </w:r>
          </w:p>
        </w:tc>
        <w:tc>
          <w:tcPr>
            <w:tcW w:w="5386" w:type="dxa"/>
            <w:vAlign w:val="center"/>
          </w:tcPr>
          <w:p>
            <w:pPr>
              <w:pStyle w:val="13"/>
            </w:pPr>
            <w:r>
              <w:t>组织保密机要培训数量</w:t>
            </w:r>
          </w:p>
        </w:tc>
        <w:tc>
          <w:tcPr>
            <w:tcW w:w="2268" w:type="dxa"/>
            <w:vAlign w:val="center"/>
          </w:tcPr>
          <w:p>
            <w:pPr>
              <w:pStyle w:val="13"/>
            </w:pPr>
            <w:r>
              <w:t>5次</w:t>
            </w:r>
          </w:p>
        </w:tc>
        <w:tc>
          <w:tcPr>
            <w:tcW w:w="1276" w:type="dxa"/>
            <w:vAlign w:val="center"/>
          </w:tcPr>
          <w:p>
            <w:pPr>
              <w:pStyle w:val="13"/>
            </w:pPr>
            <w:r>
              <w:t>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计划值班业务培训次数</w:t>
            </w:r>
          </w:p>
        </w:tc>
        <w:tc>
          <w:tcPr>
            <w:tcW w:w="5386" w:type="dxa"/>
            <w:vAlign w:val="center"/>
          </w:tcPr>
          <w:p>
            <w:pPr>
              <w:pStyle w:val="13"/>
            </w:pPr>
            <w:r>
              <w:t>计划值班业务培训次数</w:t>
            </w:r>
          </w:p>
        </w:tc>
        <w:tc>
          <w:tcPr>
            <w:tcW w:w="2268" w:type="dxa"/>
            <w:vAlign w:val="center"/>
          </w:tcPr>
          <w:p>
            <w:pPr>
              <w:pStyle w:val="13"/>
            </w:pPr>
            <w:r>
              <w:t>3次</w:t>
            </w:r>
          </w:p>
          <w:p>
            <w:pPr>
              <w:pStyle w:val="13"/>
            </w:pPr>
          </w:p>
        </w:tc>
        <w:tc>
          <w:tcPr>
            <w:tcW w:w="1276" w:type="dxa"/>
            <w:vAlign w:val="center"/>
          </w:tcPr>
          <w:p>
            <w:pPr>
              <w:pStyle w:val="13"/>
            </w:pPr>
            <w:r>
              <w:t>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各项培训参会率</w:t>
            </w:r>
          </w:p>
        </w:tc>
        <w:tc>
          <w:tcPr>
            <w:tcW w:w="5386" w:type="dxa"/>
            <w:vAlign w:val="center"/>
          </w:tcPr>
          <w:p>
            <w:pPr>
              <w:pStyle w:val="13"/>
            </w:pPr>
            <w:r>
              <w:t>各项培训参会率</w:t>
            </w:r>
          </w:p>
        </w:tc>
        <w:tc>
          <w:tcPr>
            <w:tcW w:w="2268" w:type="dxa"/>
            <w:vAlign w:val="center"/>
          </w:tcPr>
          <w:p>
            <w:pPr>
              <w:pStyle w:val="13"/>
            </w:pPr>
            <w:r>
              <w:t>≥95%</w:t>
            </w:r>
          </w:p>
        </w:tc>
        <w:tc>
          <w:tcPr>
            <w:tcW w:w="1276" w:type="dxa"/>
            <w:vAlign w:val="center"/>
          </w:tcPr>
          <w:p>
            <w:pPr>
              <w:pStyle w:val="13"/>
            </w:pPr>
            <w:r>
              <w:t>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各项培训完成及时率（%）</w:t>
            </w:r>
          </w:p>
        </w:tc>
        <w:tc>
          <w:tcPr>
            <w:tcW w:w="5386" w:type="dxa"/>
            <w:vAlign w:val="center"/>
          </w:tcPr>
          <w:p>
            <w:pPr>
              <w:pStyle w:val="13"/>
            </w:pPr>
            <w:r>
              <w:t>各项培训完成及时率（%）</w:t>
            </w:r>
          </w:p>
        </w:tc>
        <w:tc>
          <w:tcPr>
            <w:tcW w:w="2268" w:type="dxa"/>
            <w:vAlign w:val="center"/>
          </w:tcPr>
          <w:p>
            <w:pPr>
              <w:pStyle w:val="13"/>
            </w:pPr>
            <w:r>
              <w:t>≥95%</w:t>
            </w:r>
          </w:p>
        </w:tc>
        <w:tc>
          <w:tcPr>
            <w:tcW w:w="1276" w:type="dxa"/>
            <w:vAlign w:val="center"/>
          </w:tcPr>
          <w:p>
            <w:pPr>
              <w:pStyle w:val="13"/>
            </w:pPr>
            <w:r>
              <w:t>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活动培训成本</w:t>
            </w:r>
          </w:p>
        </w:tc>
        <w:tc>
          <w:tcPr>
            <w:tcW w:w="5386" w:type="dxa"/>
            <w:vAlign w:val="center"/>
          </w:tcPr>
          <w:p>
            <w:pPr>
              <w:pStyle w:val="13"/>
            </w:pPr>
            <w:r>
              <w:t>活动培训成本</w:t>
            </w:r>
          </w:p>
        </w:tc>
        <w:tc>
          <w:tcPr>
            <w:tcW w:w="2268" w:type="dxa"/>
            <w:vAlign w:val="center"/>
          </w:tcPr>
          <w:p>
            <w:pPr>
              <w:pStyle w:val="13"/>
            </w:pPr>
            <w:r>
              <w:t>≤70万</w:t>
            </w:r>
          </w:p>
        </w:tc>
        <w:tc>
          <w:tcPr>
            <w:tcW w:w="1276" w:type="dxa"/>
            <w:vAlign w:val="center"/>
          </w:tcPr>
          <w:p>
            <w:pPr>
              <w:pStyle w:val="13"/>
            </w:pPr>
            <w:r>
              <w:t>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能够长期较好地宣传中央党务条例的规定</w:t>
            </w:r>
          </w:p>
        </w:tc>
        <w:tc>
          <w:tcPr>
            <w:tcW w:w="2268" w:type="dxa"/>
            <w:vAlign w:val="center"/>
          </w:tcPr>
          <w:p>
            <w:pPr>
              <w:pStyle w:val="13"/>
            </w:pPr>
            <w:r>
              <w:t>长期</w:t>
            </w:r>
          </w:p>
          <w:p>
            <w:pPr>
              <w:pStyle w:val="13"/>
            </w:pPr>
          </w:p>
        </w:tc>
        <w:tc>
          <w:tcPr>
            <w:tcW w:w="1276" w:type="dxa"/>
            <w:vAlign w:val="center"/>
          </w:tcPr>
          <w:p>
            <w:pPr>
              <w:pStyle w:val="13"/>
            </w:pPr>
            <w:r>
              <w:t>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培训满意度</w:t>
            </w:r>
          </w:p>
        </w:tc>
        <w:tc>
          <w:tcPr>
            <w:tcW w:w="5386" w:type="dxa"/>
            <w:vAlign w:val="center"/>
          </w:tcPr>
          <w:p>
            <w:pPr>
              <w:pStyle w:val="13"/>
            </w:pPr>
            <w:r>
              <w:t>培训满意度</w:t>
            </w:r>
          </w:p>
        </w:tc>
        <w:tc>
          <w:tcPr>
            <w:tcW w:w="2268" w:type="dxa"/>
            <w:vAlign w:val="center"/>
          </w:tcPr>
          <w:p>
            <w:pPr>
              <w:pStyle w:val="13"/>
            </w:pPr>
            <w:r>
              <w:t>≥95%</w:t>
            </w:r>
          </w:p>
        </w:tc>
        <w:tc>
          <w:tcPr>
            <w:tcW w:w="1276" w:type="dxa"/>
            <w:vAlign w:val="center"/>
          </w:tcPr>
          <w:p>
            <w:pPr>
              <w:pStyle w:val="13"/>
            </w:pPr>
            <w:r>
              <w:t>工作安排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202中共石家庄市鹿泉区委办公室</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8" w:type="dxa"/>
            <w:gridSpan w:val="7"/>
            <w:vAlign w:val="center"/>
          </w:tcPr>
          <w:p>
            <w:pPr>
              <w:pStyle w:val="11"/>
            </w:pPr>
            <w:r>
              <w:t>政府采购金额（当年部门预算安排资金）</w:t>
            </w:r>
          </w:p>
        </w:tc>
        <w:tc>
          <w:tcPr>
            <w:tcW w:w="964" w:type="dxa"/>
            <w:vMerge w:val="restart"/>
            <w:vAlign w:val="center"/>
          </w:tcPr>
          <w:p>
            <w:pPr>
              <w:pStyle w:val="11"/>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8.65</w:t>
            </w:r>
          </w:p>
        </w:tc>
        <w:tc>
          <w:tcPr>
            <w:tcW w:w="964" w:type="dxa"/>
            <w:vAlign w:val="center"/>
          </w:tcPr>
          <w:p>
            <w:pPr>
              <w:pStyle w:val="16"/>
            </w:pPr>
            <w:r>
              <w:t>8.65</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8.65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中共石家庄市鹿泉区委办公室本级小计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8.65</w:t>
            </w:r>
          </w:p>
        </w:tc>
        <w:tc>
          <w:tcPr>
            <w:tcW w:w="964" w:type="dxa"/>
            <w:vAlign w:val="center"/>
          </w:tcPr>
          <w:p>
            <w:pPr>
              <w:pStyle w:val="16"/>
            </w:pPr>
            <w:r>
              <w:t>8.65</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8.65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2025年专项公用经费</w:t>
            </w:r>
          </w:p>
        </w:tc>
        <w:tc>
          <w:tcPr>
            <w:tcW w:w="964" w:type="dxa"/>
            <w:vAlign w:val="center"/>
          </w:tcPr>
          <w:p>
            <w:pPr>
              <w:pStyle w:val="12"/>
            </w:pPr>
            <w:r>
              <w:t>70.00</w:t>
            </w:r>
          </w:p>
        </w:tc>
        <w:tc>
          <w:tcPr>
            <w:tcW w:w="1134" w:type="dxa"/>
            <w:vAlign w:val="center"/>
          </w:tcPr>
          <w:p>
            <w:pPr>
              <w:pStyle w:val="13"/>
            </w:pPr>
            <w:r>
              <w:t>台式计算机</w:t>
            </w:r>
          </w:p>
        </w:tc>
        <w:tc>
          <w:tcPr>
            <w:tcW w:w="1134" w:type="dxa"/>
            <w:vAlign w:val="center"/>
          </w:tcPr>
          <w:p>
            <w:pPr>
              <w:pStyle w:val="13"/>
            </w:pPr>
            <w:r>
              <w:t>A02010105</w:t>
            </w:r>
          </w:p>
        </w:tc>
        <w:tc>
          <w:tcPr>
            <w:tcW w:w="709" w:type="dxa"/>
            <w:vAlign w:val="center"/>
          </w:tcPr>
          <w:p>
            <w:pPr>
              <w:pStyle w:val="14"/>
            </w:pPr>
            <w:r>
              <w:t>台</w:t>
            </w:r>
          </w:p>
        </w:tc>
        <w:tc>
          <w:tcPr>
            <w:tcW w:w="850" w:type="dxa"/>
            <w:vAlign w:val="center"/>
          </w:tcPr>
          <w:p>
            <w:pPr>
              <w:pStyle w:val="12"/>
            </w:pPr>
            <w:r>
              <w:t>5</w:t>
            </w:r>
          </w:p>
        </w:tc>
        <w:tc>
          <w:tcPr>
            <w:tcW w:w="850" w:type="dxa"/>
            <w:vAlign w:val="center"/>
          </w:tcPr>
          <w:p>
            <w:pPr>
              <w:pStyle w:val="12"/>
            </w:pPr>
            <w:r>
              <w:t>0.45</w:t>
            </w:r>
          </w:p>
        </w:tc>
        <w:tc>
          <w:tcPr>
            <w:tcW w:w="964" w:type="dxa"/>
            <w:vAlign w:val="center"/>
          </w:tcPr>
          <w:p>
            <w:pPr>
              <w:pStyle w:val="12"/>
            </w:pPr>
            <w:r>
              <w:t>2.25</w:t>
            </w:r>
          </w:p>
        </w:tc>
        <w:tc>
          <w:tcPr>
            <w:tcW w:w="964" w:type="dxa"/>
            <w:vAlign w:val="center"/>
          </w:tcPr>
          <w:p>
            <w:pPr>
              <w:pStyle w:val="12"/>
            </w:pPr>
            <w:r>
              <w:t>2.25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2025年专项公用经费</w:t>
            </w:r>
          </w:p>
        </w:tc>
        <w:tc>
          <w:tcPr>
            <w:tcW w:w="964" w:type="dxa"/>
            <w:vAlign w:val="center"/>
          </w:tcPr>
          <w:p>
            <w:pPr>
              <w:pStyle w:val="12"/>
            </w:pPr>
            <w:r>
              <w:t>70.00</w:t>
            </w:r>
          </w:p>
        </w:tc>
        <w:tc>
          <w:tcPr>
            <w:tcW w:w="1134" w:type="dxa"/>
            <w:vAlign w:val="center"/>
          </w:tcPr>
          <w:p>
            <w:pPr>
              <w:pStyle w:val="13"/>
            </w:pPr>
            <w:r>
              <w:t>空调机</w:t>
            </w:r>
          </w:p>
        </w:tc>
        <w:tc>
          <w:tcPr>
            <w:tcW w:w="1134" w:type="dxa"/>
            <w:vAlign w:val="center"/>
          </w:tcPr>
          <w:p>
            <w:pPr>
              <w:pStyle w:val="13"/>
            </w:pPr>
            <w:r>
              <w:t>A02061804</w:t>
            </w:r>
          </w:p>
        </w:tc>
        <w:tc>
          <w:tcPr>
            <w:tcW w:w="709" w:type="dxa"/>
            <w:vAlign w:val="center"/>
          </w:tcPr>
          <w:p>
            <w:pPr>
              <w:pStyle w:val="14"/>
            </w:pPr>
            <w:r>
              <w:t>个</w:t>
            </w:r>
          </w:p>
        </w:tc>
        <w:tc>
          <w:tcPr>
            <w:tcW w:w="850" w:type="dxa"/>
            <w:vAlign w:val="center"/>
          </w:tcPr>
          <w:p>
            <w:pPr>
              <w:pStyle w:val="12"/>
            </w:pPr>
            <w:r>
              <w:t>3</w:t>
            </w:r>
          </w:p>
        </w:tc>
        <w:tc>
          <w:tcPr>
            <w:tcW w:w="850" w:type="dxa"/>
            <w:vAlign w:val="center"/>
          </w:tcPr>
          <w:p>
            <w:pPr>
              <w:pStyle w:val="12"/>
            </w:pPr>
            <w:r>
              <w:t>0.25</w:t>
            </w:r>
          </w:p>
        </w:tc>
        <w:tc>
          <w:tcPr>
            <w:tcW w:w="964" w:type="dxa"/>
            <w:vAlign w:val="center"/>
          </w:tcPr>
          <w:p>
            <w:pPr>
              <w:pStyle w:val="12"/>
            </w:pPr>
            <w:r>
              <w:t>0.75</w:t>
            </w:r>
          </w:p>
        </w:tc>
        <w:tc>
          <w:tcPr>
            <w:tcW w:w="964" w:type="dxa"/>
            <w:vAlign w:val="center"/>
          </w:tcPr>
          <w:p>
            <w:pPr>
              <w:pStyle w:val="12"/>
            </w:pPr>
            <w:r>
              <w:t>0.75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2025年专项公用经费</w:t>
            </w:r>
          </w:p>
        </w:tc>
        <w:tc>
          <w:tcPr>
            <w:tcW w:w="964" w:type="dxa"/>
            <w:vAlign w:val="center"/>
          </w:tcPr>
          <w:p>
            <w:pPr>
              <w:pStyle w:val="12"/>
            </w:pPr>
            <w:r>
              <w:t>70.00</w:t>
            </w:r>
          </w:p>
        </w:tc>
        <w:tc>
          <w:tcPr>
            <w:tcW w:w="1134" w:type="dxa"/>
            <w:vAlign w:val="center"/>
          </w:tcPr>
          <w:p>
            <w:pPr>
              <w:pStyle w:val="13"/>
            </w:pPr>
            <w:r>
              <w:t>办公桌</w:t>
            </w:r>
          </w:p>
        </w:tc>
        <w:tc>
          <w:tcPr>
            <w:tcW w:w="1134" w:type="dxa"/>
            <w:vAlign w:val="center"/>
          </w:tcPr>
          <w:p>
            <w:pPr>
              <w:pStyle w:val="13"/>
            </w:pPr>
            <w:r>
              <w:t>A05010201</w:t>
            </w:r>
          </w:p>
        </w:tc>
        <w:tc>
          <w:tcPr>
            <w:tcW w:w="709" w:type="dxa"/>
            <w:vAlign w:val="center"/>
          </w:tcPr>
          <w:p>
            <w:pPr>
              <w:pStyle w:val="14"/>
            </w:pPr>
            <w:r>
              <w:t>张</w:t>
            </w:r>
          </w:p>
        </w:tc>
        <w:tc>
          <w:tcPr>
            <w:tcW w:w="850" w:type="dxa"/>
            <w:vAlign w:val="center"/>
          </w:tcPr>
          <w:p>
            <w:pPr>
              <w:pStyle w:val="12"/>
            </w:pPr>
            <w:r>
              <w:t>2</w:t>
            </w:r>
          </w:p>
        </w:tc>
        <w:tc>
          <w:tcPr>
            <w:tcW w:w="850" w:type="dxa"/>
            <w:vAlign w:val="center"/>
          </w:tcPr>
          <w:p>
            <w:pPr>
              <w:pStyle w:val="12"/>
            </w:pPr>
            <w:r>
              <w:t>0.25</w:t>
            </w:r>
          </w:p>
        </w:tc>
        <w:tc>
          <w:tcPr>
            <w:tcW w:w="964" w:type="dxa"/>
            <w:vAlign w:val="center"/>
          </w:tcPr>
          <w:p>
            <w:pPr>
              <w:pStyle w:val="12"/>
            </w:pPr>
            <w:r>
              <w:t>0.50</w:t>
            </w:r>
          </w:p>
        </w:tc>
        <w:tc>
          <w:tcPr>
            <w:tcW w:w="964" w:type="dxa"/>
            <w:vAlign w:val="center"/>
          </w:tcPr>
          <w:p>
            <w:pPr>
              <w:pStyle w:val="12"/>
            </w:pPr>
            <w:r>
              <w:t>0.50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2025年专项公用经费</w:t>
            </w:r>
          </w:p>
        </w:tc>
        <w:tc>
          <w:tcPr>
            <w:tcW w:w="964" w:type="dxa"/>
            <w:vAlign w:val="center"/>
          </w:tcPr>
          <w:p>
            <w:pPr>
              <w:pStyle w:val="12"/>
            </w:pPr>
            <w:r>
              <w:t>70.00</w:t>
            </w:r>
          </w:p>
        </w:tc>
        <w:tc>
          <w:tcPr>
            <w:tcW w:w="1134" w:type="dxa"/>
            <w:vAlign w:val="center"/>
          </w:tcPr>
          <w:p>
            <w:pPr>
              <w:pStyle w:val="13"/>
            </w:pPr>
            <w:r>
              <w:t>会议桌</w:t>
            </w:r>
          </w:p>
        </w:tc>
        <w:tc>
          <w:tcPr>
            <w:tcW w:w="1134" w:type="dxa"/>
            <w:vAlign w:val="center"/>
          </w:tcPr>
          <w:p>
            <w:pPr>
              <w:pStyle w:val="13"/>
            </w:pPr>
            <w:r>
              <w:t>A05010202</w:t>
            </w:r>
          </w:p>
        </w:tc>
        <w:tc>
          <w:tcPr>
            <w:tcW w:w="709" w:type="dxa"/>
            <w:vAlign w:val="center"/>
          </w:tcPr>
          <w:p>
            <w:pPr>
              <w:pStyle w:val="14"/>
            </w:pPr>
            <w:r>
              <w:t>张</w:t>
            </w:r>
          </w:p>
        </w:tc>
        <w:tc>
          <w:tcPr>
            <w:tcW w:w="850" w:type="dxa"/>
            <w:vAlign w:val="center"/>
          </w:tcPr>
          <w:p>
            <w:pPr>
              <w:pStyle w:val="12"/>
            </w:pPr>
            <w:r>
              <w:t>1</w:t>
            </w:r>
          </w:p>
        </w:tc>
        <w:tc>
          <w:tcPr>
            <w:tcW w:w="850" w:type="dxa"/>
            <w:vAlign w:val="center"/>
          </w:tcPr>
          <w:p>
            <w:pPr>
              <w:pStyle w:val="12"/>
            </w:pPr>
            <w:r>
              <w:t>0.60</w:t>
            </w:r>
          </w:p>
        </w:tc>
        <w:tc>
          <w:tcPr>
            <w:tcW w:w="964" w:type="dxa"/>
            <w:vAlign w:val="center"/>
          </w:tcPr>
          <w:p>
            <w:pPr>
              <w:pStyle w:val="12"/>
            </w:pPr>
            <w:r>
              <w:t>0.60</w:t>
            </w:r>
          </w:p>
        </w:tc>
        <w:tc>
          <w:tcPr>
            <w:tcW w:w="964" w:type="dxa"/>
            <w:vAlign w:val="center"/>
          </w:tcPr>
          <w:p>
            <w:pPr>
              <w:pStyle w:val="12"/>
            </w:pPr>
            <w:r>
              <w:t>0.60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2025年专项公用经费</w:t>
            </w:r>
          </w:p>
        </w:tc>
        <w:tc>
          <w:tcPr>
            <w:tcW w:w="964" w:type="dxa"/>
            <w:vAlign w:val="center"/>
          </w:tcPr>
          <w:p>
            <w:pPr>
              <w:pStyle w:val="12"/>
            </w:pPr>
            <w:r>
              <w:t>70.00</w:t>
            </w:r>
          </w:p>
        </w:tc>
        <w:tc>
          <w:tcPr>
            <w:tcW w:w="1134" w:type="dxa"/>
            <w:vAlign w:val="center"/>
          </w:tcPr>
          <w:p>
            <w:pPr>
              <w:pStyle w:val="13"/>
            </w:pPr>
            <w:r>
              <w:t>会议桌</w:t>
            </w:r>
          </w:p>
        </w:tc>
        <w:tc>
          <w:tcPr>
            <w:tcW w:w="1134" w:type="dxa"/>
            <w:vAlign w:val="center"/>
          </w:tcPr>
          <w:p>
            <w:pPr>
              <w:pStyle w:val="13"/>
            </w:pPr>
            <w:r>
              <w:t>A05010202</w:t>
            </w:r>
          </w:p>
        </w:tc>
        <w:tc>
          <w:tcPr>
            <w:tcW w:w="709" w:type="dxa"/>
            <w:vAlign w:val="center"/>
          </w:tcPr>
          <w:p>
            <w:pPr>
              <w:pStyle w:val="14"/>
            </w:pPr>
            <w:r>
              <w:t>张</w:t>
            </w:r>
          </w:p>
        </w:tc>
        <w:tc>
          <w:tcPr>
            <w:tcW w:w="850" w:type="dxa"/>
            <w:vAlign w:val="center"/>
          </w:tcPr>
          <w:p>
            <w:pPr>
              <w:pStyle w:val="12"/>
            </w:pPr>
            <w:r>
              <w:t>3</w:t>
            </w:r>
          </w:p>
        </w:tc>
        <w:tc>
          <w:tcPr>
            <w:tcW w:w="850" w:type="dxa"/>
            <w:vAlign w:val="center"/>
          </w:tcPr>
          <w:p>
            <w:pPr>
              <w:pStyle w:val="12"/>
            </w:pPr>
            <w:r>
              <w:t>0.15</w:t>
            </w:r>
          </w:p>
        </w:tc>
        <w:tc>
          <w:tcPr>
            <w:tcW w:w="964" w:type="dxa"/>
            <w:vAlign w:val="center"/>
          </w:tcPr>
          <w:p>
            <w:pPr>
              <w:pStyle w:val="12"/>
            </w:pPr>
            <w:r>
              <w:t>0.45</w:t>
            </w:r>
          </w:p>
        </w:tc>
        <w:tc>
          <w:tcPr>
            <w:tcW w:w="964" w:type="dxa"/>
            <w:vAlign w:val="center"/>
          </w:tcPr>
          <w:p>
            <w:pPr>
              <w:pStyle w:val="12"/>
            </w:pPr>
            <w:r>
              <w:t>0.45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0.45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2025年专项公用经费</w:t>
            </w:r>
          </w:p>
        </w:tc>
        <w:tc>
          <w:tcPr>
            <w:tcW w:w="964" w:type="dxa"/>
            <w:vAlign w:val="center"/>
          </w:tcPr>
          <w:p>
            <w:pPr>
              <w:pStyle w:val="12"/>
            </w:pPr>
            <w:r>
              <w:t>70.00</w:t>
            </w:r>
          </w:p>
        </w:tc>
        <w:tc>
          <w:tcPr>
            <w:tcW w:w="1134" w:type="dxa"/>
            <w:vAlign w:val="center"/>
          </w:tcPr>
          <w:p>
            <w:pPr>
              <w:pStyle w:val="13"/>
            </w:pPr>
            <w:r>
              <w:t>办公椅</w:t>
            </w:r>
          </w:p>
        </w:tc>
        <w:tc>
          <w:tcPr>
            <w:tcW w:w="1134" w:type="dxa"/>
            <w:vAlign w:val="center"/>
          </w:tcPr>
          <w:p>
            <w:pPr>
              <w:pStyle w:val="13"/>
            </w:pPr>
            <w:r>
              <w:t>A05010301</w:t>
            </w:r>
          </w:p>
        </w:tc>
        <w:tc>
          <w:tcPr>
            <w:tcW w:w="709" w:type="dxa"/>
            <w:vAlign w:val="center"/>
          </w:tcPr>
          <w:p>
            <w:pPr>
              <w:pStyle w:val="14"/>
            </w:pPr>
            <w:r>
              <w:t>张</w:t>
            </w:r>
          </w:p>
        </w:tc>
        <w:tc>
          <w:tcPr>
            <w:tcW w:w="850" w:type="dxa"/>
            <w:vAlign w:val="center"/>
          </w:tcPr>
          <w:p>
            <w:pPr>
              <w:pStyle w:val="12"/>
            </w:pPr>
            <w:r>
              <w:t>23</w:t>
            </w:r>
          </w:p>
        </w:tc>
        <w:tc>
          <w:tcPr>
            <w:tcW w:w="850" w:type="dxa"/>
            <w:vAlign w:val="center"/>
          </w:tcPr>
          <w:p>
            <w:pPr>
              <w:pStyle w:val="12"/>
            </w:pPr>
            <w:r>
              <w:t>0.04</w:t>
            </w:r>
          </w:p>
        </w:tc>
        <w:tc>
          <w:tcPr>
            <w:tcW w:w="964" w:type="dxa"/>
            <w:vAlign w:val="center"/>
          </w:tcPr>
          <w:p>
            <w:pPr>
              <w:pStyle w:val="12"/>
            </w:pPr>
            <w:r>
              <w:t>0.81</w:t>
            </w:r>
          </w:p>
        </w:tc>
        <w:tc>
          <w:tcPr>
            <w:tcW w:w="964" w:type="dxa"/>
            <w:vAlign w:val="center"/>
          </w:tcPr>
          <w:p>
            <w:pPr>
              <w:pStyle w:val="12"/>
            </w:pPr>
            <w:r>
              <w:t>0.81</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0.81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2025年专项公用经费</w:t>
            </w:r>
          </w:p>
        </w:tc>
        <w:tc>
          <w:tcPr>
            <w:tcW w:w="964" w:type="dxa"/>
            <w:vAlign w:val="center"/>
          </w:tcPr>
          <w:p>
            <w:pPr>
              <w:pStyle w:val="12"/>
            </w:pPr>
            <w:r>
              <w:t>70.00</w:t>
            </w:r>
          </w:p>
        </w:tc>
        <w:tc>
          <w:tcPr>
            <w:tcW w:w="1134" w:type="dxa"/>
            <w:vAlign w:val="center"/>
          </w:tcPr>
          <w:p>
            <w:pPr>
              <w:pStyle w:val="13"/>
            </w:pPr>
            <w:r>
              <w:t>办公椅</w:t>
            </w:r>
          </w:p>
        </w:tc>
        <w:tc>
          <w:tcPr>
            <w:tcW w:w="1134" w:type="dxa"/>
            <w:vAlign w:val="center"/>
          </w:tcPr>
          <w:p>
            <w:pPr>
              <w:pStyle w:val="13"/>
            </w:pPr>
            <w:r>
              <w:t>A05010301</w:t>
            </w:r>
          </w:p>
        </w:tc>
        <w:tc>
          <w:tcPr>
            <w:tcW w:w="709" w:type="dxa"/>
            <w:vAlign w:val="center"/>
          </w:tcPr>
          <w:p>
            <w:pPr>
              <w:pStyle w:val="14"/>
            </w:pPr>
            <w:r>
              <w:t>张</w:t>
            </w:r>
          </w:p>
        </w:tc>
        <w:tc>
          <w:tcPr>
            <w:tcW w:w="850" w:type="dxa"/>
            <w:vAlign w:val="center"/>
          </w:tcPr>
          <w:p>
            <w:pPr>
              <w:pStyle w:val="12"/>
            </w:pPr>
            <w:r>
              <w:t>22</w:t>
            </w:r>
          </w:p>
        </w:tc>
        <w:tc>
          <w:tcPr>
            <w:tcW w:w="850" w:type="dxa"/>
            <w:vAlign w:val="center"/>
          </w:tcPr>
          <w:p>
            <w:pPr>
              <w:pStyle w:val="12"/>
            </w:pPr>
            <w:r>
              <w:t>0.07</w:t>
            </w:r>
          </w:p>
        </w:tc>
        <w:tc>
          <w:tcPr>
            <w:tcW w:w="964" w:type="dxa"/>
            <w:vAlign w:val="center"/>
          </w:tcPr>
          <w:p>
            <w:pPr>
              <w:pStyle w:val="12"/>
            </w:pPr>
            <w:r>
              <w:t>1.54</w:t>
            </w:r>
          </w:p>
        </w:tc>
        <w:tc>
          <w:tcPr>
            <w:tcW w:w="964" w:type="dxa"/>
            <w:vAlign w:val="center"/>
          </w:tcPr>
          <w:p>
            <w:pPr>
              <w:pStyle w:val="12"/>
            </w:pPr>
            <w:r>
              <w:t>1.54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1.54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2025年专项公用经费</w:t>
            </w:r>
          </w:p>
        </w:tc>
        <w:tc>
          <w:tcPr>
            <w:tcW w:w="964" w:type="dxa"/>
            <w:vAlign w:val="center"/>
          </w:tcPr>
          <w:p>
            <w:pPr>
              <w:pStyle w:val="12"/>
            </w:pPr>
            <w:r>
              <w:t>70.00</w:t>
            </w:r>
          </w:p>
        </w:tc>
        <w:tc>
          <w:tcPr>
            <w:tcW w:w="1134" w:type="dxa"/>
            <w:vAlign w:val="center"/>
          </w:tcPr>
          <w:p>
            <w:pPr>
              <w:pStyle w:val="13"/>
            </w:pPr>
            <w:r>
              <w:t>单人沙发</w:t>
            </w:r>
          </w:p>
        </w:tc>
        <w:tc>
          <w:tcPr>
            <w:tcW w:w="1134" w:type="dxa"/>
            <w:vAlign w:val="center"/>
          </w:tcPr>
          <w:p>
            <w:pPr>
              <w:pStyle w:val="13"/>
            </w:pPr>
            <w:r>
              <w:t>A05010402</w:t>
            </w:r>
          </w:p>
        </w:tc>
        <w:tc>
          <w:tcPr>
            <w:tcW w:w="709" w:type="dxa"/>
            <w:vAlign w:val="center"/>
          </w:tcPr>
          <w:p>
            <w:pPr>
              <w:pStyle w:val="14"/>
            </w:pPr>
            <w:r>
              <w:t>个</w:t>
            </w:r>
          </w:p>
        </w:tc>
        <w:tc>
          <w:tcPr>
            <w:tcW w:w="850" w:type="dxa"/>
            <w:vAlign w:val="center"/>
          </w:tcPr>
          <w:p>
            <w:pPr>
              <w:pStyle w:val="12"/>
            </w:pPr>
            <w:r>
              <w:t>3</w:t>
            </w:r>
          </w:p>
        </w:tc>
        <w:tc>
          <w:tcPr>
            <w:tcW w:w="850" w:type="dxa"/>
            <w:vAlign w:val="center"/>
          </w:tcPr>
          <w:p>
            <w:pPr>
              <w:pStyle w:val="12"/>
            </w:pPr>
            <w:r>
              <w:t>0.25</w:t>
            </w:r>
          </w:p>
        </w:tc>
        <w:tc>
          <w:tcPr>
            <w:tcW w:w="964" w:type="dxa"/>
            <w:vAlign w:val="center"/>
          </w:tcPr>
          <w:p>
            <w:pPr>
              <w:pStyle w:val="12"/>
            </w:pPr>
            <w:r>
              <w:t>0.75</w:t>
            </w:r>
          </w:p>
        </w:tc>
        <w:tc>
          <w:tcPr>
            <w:tcW w:w="964" w:type="dxa"/>
            <w:vAlign w:val="center"/>
          </w:tcPr>
          <w:p>
            <w:pPr>
              <w:pStyle w:val="12"/>
            </w:pPr>
            <w:r>
              <w:t>0.75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2025年专项公用经费</w:t>
            </w:r>
          </w:p>
        </w:tc>
        <w:tc>
          <w:tcPr>
            <w:tcW w:w="964" w:type="dxa"/>
            <w:vAlign w:val="center"/>
          </w:tcPr>
          <w:p>
            <w:pPr>
              <w:pStyle w:val="12"/>
            </w:pPr>
            <w:r>
              <w:t>70.00</w:t>
            </w:r>
          </w:p>
        </w:tc>
        <w:tc>
          <w:tcPr>
            <w:tcW w:w="1134" w:type="dxa"/>
            <w:vAlign w:val="center"/>
          </w:tcPr>
          <w:p>
            <w:pPr>
              <w:pStyle w:val="13"/>
            </w:pPr>
            <w:r>
              <w:t>文件柜</w:t>
            </w:r>
          </w:p>
        </w:tc>
        <w:tc>
          <w:tcPr>
            <w:tcW w:w="1134" w:type="dxa"/>
            <w:vAlign w:val="center"/>
          </w:tcPr>
          <w:p>
            <w:pPr>
              <w:pStyle w:val="13"/>
            </w:pPr>
            <w:r>
              <w:t>A05010502</w:t>
            </w:r>
          </w:p>
        </w:tc>
        <w:tc>
          <w:tcPr>
            <w:tcW w:w="709" w:type="dxa"/>
            <w:vAlign w:val="center"/>
          </w:tcPr>
          <w:p>
            <w:pPr>
              <w:pStyle w:val="14"/>
            </w:pPr>
            <w:r>
              <w:t>个</w:t>
            </w:r>
          </w:p>
        </w:tc>
        <w:tc>
          <w:tcPr>
            <w:tcW w:w="850" w:type="dxa"/>
            <w:vAlign w:val="center"/>
          </w:tcPr>
          <w:p>
            <w:pPr>
              <w:pStyle w:val="12"/>
            </w:pPr>
            <w:r>
              <w:t>5</w:t>
            </w:r>
          </w:p>
        </w:tc>
        <w:tc>
          <w:tcPr>
            <w:tcW w:w="850" w:type="dxa"/>
            <w:vAlign w:val="center"/>
          </w:tcPr>
          <w:p>
            <w:pPr>
              <w:pStyle w:val="12"/>
            </w:pPr>
            <w:r>
              <w:t>0.20</w:t>
            </w:r>
          </w:p>
        </w:tc>
        <w:tc>
          <w:tcPr>
            <w:tcW w:w="964" w:type="dxa"/>
            <w:vAlign w:val="center"/>
          </w:tcPr>
          <w:p>
            <w:pPr>
              <w:pStyle w:val="12"/>
            </w:pPr>
            <w:r>
              <w:t>1.00</w:t>
            </w:r>
          </w:p>
        </w:tc>
        <w:tc>
          <w:tcPr>
            <w:tcW w:w="964" w:type="dxa"/>
            <w:vAlign w:val="center"/>
          </w:tcPr>
          <w:p>
            <w:pPr>
              <w:pStyle w:val="12"/>
            </w:pPr>
            <w:r>
              <w:t>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中共石家庄市鹿泉区委办公室（含所属单位）上年末固定资产金额为916.61万元（详见下表）。本年度拟购置固定资产总额为13.07万元，已按要求列入政府采购预算，详见政府采购预算表。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0"/>
            </w:pPr>
            <w:r>
              <w:t>202中共石家庄市鹿泉区委办公室</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916.61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1、房屋（平方米）</w:t>
            </w:r>
          </w:p>
        </w:tc>
        <w:tc>
          <w:tcPr>
            <w:tcW w:w="2835" w:type="dxa"/>
            <w:vAlign w:val="center"/>
          </w:tcPr>
          <w:p>
            <w:pPr>
              <w:pStyle w:val="14"/>
            </w:pPr>
            <w:r>
              <w:t>270</w:t>
            </w:r>
          </w:p>
        </w:tc>
        <w:tc>
          <w:tcPr>
            <w:tcW w:w="2835" w:type="dxa"/>
            <w:vAlign w:val="center"/>
          </w:tcPr>
          <w:p>
            <w:pPr>
              <w:pStyle w:val="12"/>
            </w:pPr>
            <w:r>
              <w:t>454.26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　　其中：办公用房（平方米）</w:t>
            </w:r>
          </w:p>
        </w:tc>
        <w:tc>
          <w:tcPr>
            <w:tcW w:w="2835" w:type="dxa"/>
            <w:vAlign w:val="center"/>
          </w:tcPr>
          <w:p>
            <w:pPr>
              <w:pStyle w:val="14"/>
            </w:pPr>
            <w:r>
              <w:t>270</w:t>
            </w:r>
          </w:p>
        </w:tc>
        <w:tc>
          <w:tcPr>
            <w:tcW w:w="2835" w:type="dxa"/>
            <w:vAlign w:val="center"/>
          </w:tcPr>
          <w:p>
            <w:pPr>
              <w:pStyle w:val="12"/>
            </w:pPr>
            <w:r>
              <w:t>454.26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2、车辆（台、辆）</w:t>
            </w:r>
          </w:p>
        </w:tc>
        <w:tc>
          <w:tcPr>
            <w:tcW w:w="2835" w:type="dxa"/>
            <w:vAlign w:val="center"/>
          </w:tcPr>
          <w:p>
            <w:pPr>
              <w:pStyle w:val="14"/>
            </w:pPr>
            <w:r>
              <w:t>7</w:t>
            </w:r>
          </w:p>
        </w:tc>
        <w:tc>
          <w:tcPr>
            <w:tcW w:w="2835" w:type="dxa"/>
            <w:vAlign w:val="center"/>
          </w:tcPr>
          <w:p>
            <w:pPr>
              <w:pStyle w:val="12"/>
            </w:pPr>
            <w:r>
              <w:t>117.10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4、其他固定资产</w:t>
            </w:r>
          </w:p>
        </w:tc>
        <w:tc>
          <w:tcPr>
            <w:tcW w:w="2835" w:type="dxa"/>
            <w:vAlign w:val="center"/>
          </w:tcPr>
          <w:p>
            <w:pPr>
              <w:pStyle w:val="14"/>
            </w:pPr>
            <w:r>
              <w:t>1207</w:t>
            </w:r>
          </w:p>
        </w:tc>
        <w:tc>
          <w:tcPr>
            <w:tcW w:w="2835" w:type="dxa"/>
            <w:vAlign w:val="center"/>
          </w:tcPr>
          <w:p>
            <w:pPr>
              <w:pStyle w:val="12"/>
            </w:pPr>
            <w:r>
              <w:t>345.25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43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42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F70F7F7"/>
    <w:multiLevelType w:val="singleLevel"/>
    <w:tmpl w:val="7F70F7F7"/>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9CA5058"/>
    <w:rsid w:val="31FC1B4A"/>
    <w:rsid w:val="773E3FED"/>
    <w:rsid w:val="791718A8"/>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51</Pages>
  <Words>17185</Words>
  <Characters>19949</Characters>
  <TotalTime>0</TotalTime>
  <ScaleCrop>false</ScaleCrop>
  <LinksUpToDate>false</LinksUpToDate>
  <CharactersWithSpaces>20376</CharactersWithSpaces>
  <Application>WPS Office_11.8.2.12195_F1E327BC-269C-435d-A152-05C5408002CA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2025-02-08T11:16:00Z</dcterms:created>
  <dc:creator>Administrator</dc:creator>
  <cp:lastModifiedBy>Administrator</cp:lastModifiedBy>
  <dcterms:modified xsi:type="dcterms:W3CDTF">2025-02-10T01:24:33Z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2052-11.8.2.12195</vt:lpwstr>
  </property>
  <property fmtid="{D5CDD505-2E9C-101B-9397-08002B2CF9AE}" pid="3" name="ICV">
    <vt:lpwstr>BFAE15C5319A49D6A6129FCFB16D070F</vt:lpwstr>
  </property>
</Properties>
</file>