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2015.00</w:t>
            </w:r>
          </w:p>
        </w:tc>
        <w:tc>
          <w:tcPr>
            <w:tcW w:w="4535" w:type="dxa"/>
            <w:vAlign w:val="center"/>
          </w:tcPr>
          <w:p>
            <w:pPr>
              <w:pStyle w:val="12"/>
            </w:pPr>
            <w:r>
              <w:t>一、一般公共服务支出</w:t>
            </w:r>
          </w:p>
        </w:tc>
        <w:tc>
          <w:tcPr>
            <w:tcW w:w="2126" w:type="dxa"/>
            <w:vAlign w:val="center"/>
          </w:tcPr>
          <w:p>
            <w:pPr>
              <w:pStyle w:val="11"/>
            </w:pPr>
            <w:r>
              <w:t>1485.75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2015.00</w:t>
            </w:r>
          </w:p>
        </w:tc>
        <w:tc>
          <w:tcPr>
            <w:tcW w:w="4535" w:type="dxa"/>
            <w:vAlign w:val="center"/>
          </w:tcPr>
          <w:p>
            <w:pPr>
              <w:pStyle w:val="14"/>
            </w:pPr>
            <w:r>
              <w:t>本年支出合计</w:t>
            </w:r>
          </w:p>
        </w:tc>
        <w:tc>
          <w:tcPr>
            <w:tcW w:w="2126" w:type="dxa"/>
            <w:vAlign w:val="center"/>
          </w:tcPr>
          <w:p>
            <w:pPr>
              <w:pStyle w:val="15"/>
            </w:pPr>
            <w:r>
              <w:t>2016.69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1.69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2016.69</w:t>
            </w:r>
          </w:p>
        </w:tc>
        <w:tc>
          <w:tcPr>
            <w:tcW w:w="4535" w:type="dxa"/>
            <w:vAlign w:val="center"/>
          </w:tcPr>
          <w:p>
            <w:pPr>
              <w:pStyle w:val="14"/>
            </w:pPr>
            <w:r>
              <w:t>支出总计</w:t>
            </w:r>
          </w:p>
        </w:tc>
        <w:tc>
          <w:tcPr>
            <w:tcW w:w="2126" w:type="dxa"/>
            <w:vAlign w:val="center"/>
          </w:tcPr>
          <w:p>
            <w:pPr>
              <w:pStyle w:val="15"/>
            </w:pPr>
            <w:r>
              <w:t>2016.69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2016.69</w:t>
            </w:r>
          </w:p>
        </w:tc>
        <w:tc>
          <w:tcPr>
            <w:tcW w:w="1134" w:type="dxa"/>
            <w:vAlign w:val="center"/>
          </w:tcPr>
          <w:p>
            <w:pPr>
              <w:pStyle w:val="15"/>
            </w:pPr>
            <w:r>
              <w:t>2015.00</w:t>
            </w:r>
          </w:p>
        </w:tc>
        <w:tc>
          <w:tcPr>
            <w:tcW w:w="1134" w:type="dxa"/>
            <w:vAlign w:val="center"/>
          </w:tcPr>
          <w:p>
            <w:pPr>
              <w:pStyle w:val="15"/>
            </w:pPr>
            <w:r>
              <w:t>2015.00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1485.75</w:t>
            </w:r>
          </w:p>
        </w:tc>
        <w:tc>
          <w:tcPr>
            <w:tcW w:w="1134" w:type="dxa"/>
            <w:vAlign w:val="center"/>
          </w:tcPr>
          <w:p>
            <w:pPr>
              <w:pStyle w:val="11"/>
            </w:pPr>
            <w:r>
              <w:t>1485.75</w:t>
            </w:r>
          </w:p>
        </w:tc>
        <w:tc>
          <w:tcPr>
            <w:tcW w:w="1134" w:type="dxa"/>
            <w:vAlign w:val="center"/>
          </w:tcPr>
          <w:p>
            <w:pPr>
              <w:pStyle w:val="11"/>
            </w:pPr>
            <w:r>
              <w:t>1485.75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1485.75</w:t>
            </w:r>
          </w:p>
        </w:tc>
        <w:tc>
          <w:tcPr>
            <w:tcW w:w="1134" w:type="dxa"/>
            <w:vAlign w:val="center"/>
          </w:tcPr>
          <w:p>
            <w:pPr>
              <w:pStyle w:val="11"/>
            </w:pPr>
            <w:r>
              <w:t>1485.75</w:t>
            </w:r>
          </w:p>
        </w:tc>
        <w:tc>
          <w:tcPr>
            <w:tcW w:w="1134" w:type="dxa"/>
            <w:vAlign w:val="center"/>
          </w:tcPr>
          <w:p>
            <w:pPr>
              <w:pStyle w:val="11"/>
            </w:pPr>
            <w:r>
              <w:t>1485.75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930.61</w:t>
            </w:r>
          </w:p>
        </w:tc>
        <w:tc>
          <w:tcPr>
            <w:tcW w:w="1134" w:type="dxa"/>
            <w:vAlign w:val="center"/>
          </w:tcPr>
          <w:p>
            <w:pPr>
              <w:pStyle w:val="11"/>
            </w:pPr>
            <w:r>
              <w:t>930.61</w:t>
            </w:r>
          </w:p>
        </w:tc>
        <w:tc>
          <w:tcPr>
            <w:tcW w:w="1134" w:type="dxa"/>
            <w:vAlign w:val="center"/>
          </w:tcPr>
          <w:p>
            <w:pPr>
              <w:pStyle w:val="11"/>
            </w:pPr>
            <w:r>
              <w:t>930.61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55.30</w:t>
            </w:r>
          </w:p>
        </w:tc>
        <w:tc>
          <w:tcPr>
            <w:tcW w:w="1134" w:type="dxa"/>
            <w:vAlign w:val="center"/>
          </w:tcPr>
          <w:p>
            <w:pPr>
              <w:pStyle w:val="11"/>
            </w:pPr>
            <w:r>
              <w:t>55.30</w:t>
            </w:r>
          </w:p>
        </w:tc>
        <w:tc>
          <w:tcPr>
            <w:tcW w:w="1134" w:type="dxa"/>
            <w:vAlign w:val="center"/>
          </w:tcPr>
          <w:p>
            <w:pPr>
              <w:pStyle w:val="11"/>
            </w:pPr>
            <w:r>
              <w:t>55.30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48.84</w:t>
            </w:r>
          </w:p>
        </w:tc>
        <w:tc>
          <w:tcPr>
            <w:tcW w:w="1134" w:type="dxa"/>
            <w:vAlign w:val="center"/>
          </w:tcPr>
          <w:p>
            <w:pPr>
              <w:pStyle w:val="11"/>
            </w:pPr>
            <w:r>
              <w:t>48.84</w:t>
            </w:r>
          </w:p>
        </w:tc>
        <w:tc>
          <w:tcPr>
            <w:tcW w:w="1134" w:type="dxa"/>
            <w:vAlign w:val="center"/>
          </w:tcPr>
          <w:p>
            <w:pPr>
              <w:pStyle w:val="11"/>
            </w:pPr>
            <w:r>
              <w:t>48.84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411.00</w:t>
            </w:r>
          </w:p>
        </w:tc>
        <w:tc>
          <w:tcPr>
            <w:tcW w:w="1134" w:type="dxa"/>
            <w:vAlign w:val="center"/>
          </w:tcPr>
          <w:p>
            <w:pPr>
              <w:pStyle w:val="11"/>
            </w:pPr>
            <w:r>
              <w:t>411.00</w:t>
            </w:r>
          </w:p>
        </w:tc>
        <w:tc>
          <w:tcPr>
            <w:tcW w:w="1134" w:type="dxa"/>
            <w:vAlign w:val="center"/>
          </w:tcPr>
          <w:p>
            <w:pPr>
              <w:pStyle w:val="11"/>
            </w:pPr>
            <w:r>
              <w:t>411.00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373.16</w:t>
            </w:r>
          </w:p>
        </w:tc>
        <w:tc>
          <w:tcPr>
            <w:tcW w:w="1134" w:type="dxa"/>
            <w:vAlign w:val="center"/>
          </w:tcPr>
          <w:p>
            <w:pPr>
              <w:pStyle w:val="11"/>
            </w:pPr>
            <w:r>
              <w:t>373.16</w:t>
            </w:r>
          </w:p>
        </w:tc>
        <w:tc>
          <w:tcPr>
            <w:tcW w:w="1134" w:type="dxa"/>
            <w:vAlign w:val="center"/>
          </w:tcPr>
          <w:p>
            <w:pPr>
              <w:pStyle w:val="11"/>
            </w:pPr>
            <w:r>
              <w:t>373.16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373.16</w:t>
            </w:r>
          </w:p>
        </w:tc>
        <w:tc>
          <w:tcPr>
            <w:tcW w:w="1134" w:type="dxa"/>
            <w:vAlign w:val="center"/>
          </w:tcPr>
          <w:p>
            <w:pPr>
              <w:pStyle w:val="11"/>
            </w:pPr>
            <w:r>
              <w:t>373.16</w:t>
            </w:r>
          </w:p>
        </w:tc>
        <w:tc>
          <w:tcPr>
            <w:tcW w:w="1134" w:type="dxa"/>
            <w:vAlign w:val="center"/>
          </w:tcPr>
          <w:p>
            <w:pPr>
              <w:pStyle w:val="11"/>
            </w:pPr>
            <w:r>
              <w:t>373.16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282.72</w:t>
            </w:r>
          </w:p>
        </w:tc>
        <w:tc>
          <w:tcPr>
            <w:tcW w:w="1134" w:type="dxa"/>
            <w:vAlign w:val="center"/>
          </w:tcPr>
          <w:p>
            <w:pPr>
              <w:pStyle w:val="11"/>
            </w:pPr>
            <w:r>
              <w:t>282.72</w:t>
            </w:r>
          </w:p>
        </w:tc>
        <w:tc>
          <w:tcPr>
            <w:tcW w:w="1134" w:type="dxa"/>
            <w:vAlign w:val="center"/>
          </w:tcPr>
          <w:p>
            <w:pPr>
              <w:pStyle w:val="11"/>
            </w:pPr>
            <w:r>
              <w:t>282.72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7.69</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7.69</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7.69</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r>
              <w:t>85.08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2016.69</w:t>
            </w:r>
          </w:p>
        </w:tc>
        <w:tc>
          <w:tcPr>
            <w:tcW w:w="1361" w:type="dxa"/>
            <w:vAlign w:val="center"/>
          </w:tcPr>
          <w:p>
            <w:pPr>
              <w:pStyle w:val="15"/>
            </w:pPr>
            <w:r>
              <w:t>1453.86</w:t>
            </w:r>
          </w:p>
        </w:tc>
        <w:tc>
          <w:tcPr>
            <w:tcW w:w="1361" w:type="dxa"/>
            <w:vAlign w:val="center"/>
          </w:tcPr>
          <w:p>
            <w:pPr>
              <w:pStyle w:val="15"/>
            </w:pPr>
            <w:r>
              <w:t>562.83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1485.75</w:t>
            </w:r>
          </w:p>
        </w:tc>
        <w:tc>
          <w:tcPr>
            <w:tcW w:w="1361" w:type="dxa"/>
            <w:vAlign w:val="center"/>
          </w:tcPr>
          <w:p>
            <w:pPr>
              <w:pStyle w:val="11"/>
            </w:pPr>
            <w:r>
              <w:t>930.61</w:t>
            </w:r>
          </w:p>
        </w:tc>
        <w:tc>
          <w:tcPr>
            <w:tcW w:w="1361" w:type="dxa"/>
            <w:vAlign w:val="center"/>
          </w:tcPr>
          <w:p>
            <w:pPr>
              <w:pStyle w:val="11"/>
            </w:pPr>
            <w:r>
              <w:t>555.14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1485.75</w:t>
            </w:r>
          </w:p>
        </w:tc>
        <w:tc>
          <w:tcPr>
            <w:tcW w:w="1361" w:type="dxa"/>
            <w:vAlign w:val="center"/>
          </w:tcPr>
          <w:p>
            <w:pPr>
              <w:pStyle w:val="11"/>
            </w:pPr>
            <w:r>
              <w:t>930.61</w:t>
            </w:r>
          </w:p>
        </w:tc>
        <w:tc>
          <w:tcPr>
            <w:tcW w:w="1361" w:type="dxa"/>
            <w:vAlign w:val="center"/>
          </w:tcPr>
          <w:p>
            <w:pPr>
              <w:pStyle w:val="11"/>
            </w:pPr>
            <w:r>
              <w:t>555.14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930.61</w:t>
            </w:r>
          </w:p>
        </w:tc>
        <w:tc>
          <w:tcPr>
            <w:tcW w:w="1361" w:type="dxa"/>
            <w:vAlign w:val="center"/>
          </w:tcPr>
          <w:p>
            <w:pPr>
              <w:pStyle w:val="11"/>
            </w:pPr>
            <w:r>
              <w:t>930.61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48.84</w:t>
            </w:r>
          </w:p>
        </w:tc>
        <w:tc>
          <w:tcPr>
            <w:tcW w:w="1361" w:type="dxa"/>
            <w:vAlign w:val="center"/>
          </w:tcPr>
          <w:p>
            <w:pPr>
              <w:pStyle w:val="11"/>
            </w:pPr>
          </w:p>
        </w:tc>
        <w:tc>
          <w:tcPr>
            <w:tcW w:w="1361" w:type="dxa"/>
            <w:vAlign w:val="center"/>
          </w:tcPr>
          <w:p>
            <w:pPr>
              <w:pStyle w:val="11"/>
            </w:pPr>
            <w:r>
              <w:t>48.84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411.00</w:t>
            </w:r>
          </w:p>
        </w:tc>
        <w:tc>
          <w:tcPr>
            <w:tcW w:w="1361" w:type="dxa"/>
            <w:vAlign w:val="center"/>
          </w:tcPr>
          <w:p>
            <w:pPr>
              <w:pStyle w:val="11"/>
            </w:pPr>
          </w:p>
        </w:tc>
        <w:tc>
          <w:tcPr>
            <w:tcW w:w="1361" w:type="dxa"/>
            <w:vAlign w:val="center"/>
          </w:tcPr>
          <w:p>
            <w:pPr>
              <w:pStyle w:val="11"/>
            </w:pPr>
            <w:r>
              <w:t>411.00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373.16</w:t>
            </w:r>
          </w:p>
        </w:tc>
        <w:tc>
          <w:tcPr>
            <w:tcW w:w="1361" w:type="dxa"/>
            <w:vAlign w:val="center"/>
          </w:tcPr>
          <w:p>
            <w:pPr>
              <w:pStyle w:val="11"/>
            </w:pPr>
            <w:r>
              <w:t>373.16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373.16</w:t>
            </w:r>
          </w:p>
        </w:tc>
        <w:tc>
          <w:tcPr>
            <w:tcW w:w="1361" w:type="dxa"/>
            <w:vAlign w:val="center"/>
          </w:tcPr>
          <w:p>
            <w:pPr>
              <w:pStyle w:val="11"/>
            </w:pPr>
            <w:r>
              <w:t>373.16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282.72</w:t>
            </w:r>
          </w:p>
        </w:tc>
        <w:tc>
          <w:tcPr>
            <w:tcW w:w="1361" w:type="dxa"/>
            <w:vAlign w:val="center"/>
          </w:tcPr>
          <w:p>
            <w:pPr>
              <w:pStyle w:val="11"/>
            </w:pPr>
            <w:r>
              <w:t>282.72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90.44</w:t>
            </w:r>
          </w:p>
        </w:tc>
        <w:tc>
          <w:tcPr>
            <w:tcW w:w="1361" w:type="dxa"/>
            <w:vAlign w:val="center"/>
          </w:tcPr>
          <w:p>
            <w:pPr>
              <w:pStyle w:val="11"/>
            </w:pPr>
            <w:r>
              <w:t>90.44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85.08</w:t>
            </w:r>
          </w:p>
        </w:tc>
        <w:tc>
          <w:tcPr>
            <w:tcW w:w="1361" w:type="dxa"/>
            <w:vAlign w:val="center"/>
          </w:tcPr>
          <w:p>
            <w:pPr>
              <w:pStyle w:val="11"/>
            </w:pPr>
            <w:r>
              <w:t>85.08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85.08</w:t>
            </w:r>
          </w:p>
        </w:tc>
        <w:tc>
          <w:tcPr>
            <w:tcW w:w="1361" w:type="dxa"/>
            <w:vAlign w:val="center"/>
          </w:tcPr>
          <w:p>
            <w:pPr>
              <w:pStyle w:val="11"/>
            </w:pPr>
            <w:r>
              <w:t>85.08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85.08</w:t>
            </w:r>
          </w:p>
        </w:tc>
        <w:tc>
          <w:tcPr>
            <w:tcW w:w="1361" w:type="dxa"/>
            <w:vAlign w:val="center"/>
          </w:tcPr>
          <w:p>
            <w:pPr>
              <w:pStyle w:val="11"/>
            </w:pPr>
            <w:r>
              <w:t>85.08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2015.00</w:t>
            </w:r>
          </w:p>
        </w:tc>
        <w:tc>
          <w:tcPr>
            <w:tcW w:w="3402" w:type="dxa"/>
            <w:vAlign w:val="center"/>
          </w:tcPr>
          <w:p>
            <w:pPr>
              <w:pStyle w:val="12"/>
            </w:pPr>
            <w:r>
              <w:t>一、一般公共服务支出</w:t>
            </w:r>
          </w:p>
        </w:tc>
        <w:tc>
          <w:tcPr>
            <w:tcW w:w="1474" w:type="dxa"/>
            <w:vAlign w:val="center"/>
          </w:tcPr>
          <w:p>
            <w:pPr>
              <w:pStyle w:val="11"/>
            </w:pPr>
            <w:r>
              <w:t>1485.75</w:t>
            </w:r>
          </w:p>
        </w:tc>
        <w:tc>
          <w:tcPr>
            <w:tcW w:w="1474" w:type="dxa"/>
            <w:vAlign w:val="center"/>
          </w:tcPr>
          <w:p>
            <w:pPr>
              <w:pStyle w:val="11"/>
            </w:pPr>
            <w:r>
              <w:t>1485.75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373.16</w:t>
            </w:r>
          </w:p>
        </w:tc>
        <w:tc>
          <w:tcPr>
            <w:tcW w:w="1474" w:type="dxa"/>
            <w:vAlign w:val="center"/>
          </w:tcPr>
          <w:p>
            <w:pPr>
              <w:pStyle w:val="11"/>
            </w:pPr>
            <w:r>
              <w:t>373.16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65.00</w:t>
            </w:r>
          </w:p>
        </w:tc>
        <w:tc>
          <w:tcPr>
            <w:tcW w:w="1474" w:type="dxa"/>
            <w:vAlign w:val="center"/>
          </w:tcPr>
          <w:p>
            <w:pPr>
              <w:pStyle w:val="11"/>
            </w:pPr>
            <w:r>
              <w:t>65.00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7.69</w:t>
            </w:r>
          </w:p>
        </w:tc>
        <w:tc>
          <w:tcPr>
            <w:tcW w:w="1474" w:type="dxa"/>
            <w:vAlign w:val="center"/>
          </w:tcPr>
          <w:p>
            <w:pPr>
              <w:pStyle w:val="11"/>
            </w:pPr>
            <w:r>
              <w:t>7.69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85.08</w:t>
            </w:r>
          </w:p>
        </w:tc>
        <w:tc>
          <w:tcPr>
            <w:tcW w:w="1474" w:type="dxa"/>
            <w:vAlign w:val="center"/>
          </w:tcPr>
          <w:p>
            <w:pPr>
              <w:pStyle w:val="11"/>
            </w:pPr>
            <w:r>
              <w:t>85.08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2015.00</w:t>
            </w:r>
          </w:p>
        </w:tc>
        <w:tc>
          <w:tcPr>
            <w:tcW w:w="3402" w:type="dxa"/>
            <w:vAlign w:val="center"/>
          </w:tcPr>
          <w:p>
            <w:pPr>
              <w:pStyle w:val="14"/>
            </w:pPr>
            <w:r>
              <w:t>本年支出合计</w:t>
            </w:r>
          </w:p>
        </w:tc>
        <w:tc>
          <w:tcPr>
            <w:tcW w:w="1474" w:type="dxa"/>
            <w:vAlign w:val="center"/>
          </w:tcPr>
          <w:p>
            <w:pPr>
              <w:pStyle w:val="15"/>
            </w:pPr>
            <w:r>
              <w:t>2016.69</w:t>
            </w:r>
          </w:p>
        </w:tc>
        <w:tc>
          <w:tcPr>
            <w:tcW w:w="1474" w:type="dxa"/>
            <w:vAlign w:val="center"/>
          </w:tcPr>
          <w:p>
            <w:pPr>
              <w:pStyle w:val="15"/>
            </w:pPr>
            <w:r>
              <w:t>2016.69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2016.69</w:t>
            </w:r>
          </w:p>
        </w:tc>
        <w:tc>
          <w:tcPr>
            <w:tcW w:w="3402" w:type="dxa"/>
            <w:vAlign w:val="center"/>
          </w:tcPr>
          <w:p>
            <w:pPr>
              <w:pStyle w:val="14"/>
            </w:pPr>
            <w:r>
              <w:t>支出总计</w:t>
            </w:r>
          </w:p>
        </w:tc>
        <w:tc>
          <w:tcPr>
            <w:tcW w:w="1474" w:type="dxa"/>
            <w:vAlign w:val="center"/>
          </w:tcPr>
          <w:p>
            <w:pPr>
              <w:pStyle w:val="15"/>
            </w:pPr>
            <w:r>
              <w:t>2016.69</w:t>
            </w:r>
          </w:p>
        </w:tc>
        <w:tc>
          <w:tcPr>
            <w:tcW w:w="1474" w:type="dxa"/>
            <w:vAlign w:val="center"/>
          </w:tcPr>
          <w:p>
            <w:pPr>
              <w:pStyle w:val="15"/>
            </w:pPr>
            <w:r>
              <w:t>2016.69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2016.69</w:t>
            </w:r>
          </w:p>
        </w:tc>
        <w:tc>
          <w:tcPr>
            <w:tcW w:w="2551" w:type="dxa"/>
            <w:vAlign w:val="center"/>
          </w:tcPr>
          <w:p>
            <w:pPr>
              <w:pStyle w:val="15"/>
            </w:pPr>
            <w:r>
              <w:t>1453.86</w:t>
            </w:r>
          </w:p>
        </w:tc>
        <w:tc>
          <w:tcPr>
            <w:tcW w:w="2551" w:type="dxa"/>
            <w:vAlign w:val="center"/>
          </w:tcPr>
          <w:p>
            <w:pPr>
              <w:pStyle w:val="15"/>
            </w:pPr>
            <w:r>
              <w:t>562.83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1485.75</w:t>
            </w:r>
          </w:p>
        </w:tc>
        <w:tc>
          <w:tcPr>
            <w:tcW w:w="2551" w:type="dxa"/>
            <w:vAlign w:val="center"/>
          </w:tcPr>
          <w:p>
            <w:pPr>
              <w:pStyle w:val="11"/>
            </w:pPr>
            <w:r>
              <w:t>930.61</w:t>
            </w:r>
          </w:p>
        </w:tc>
        <w:tc>
          <w:tcPr>
            <w:tcW w:w="2551" w:type="dxa"/>
            <w:vAlign w:val="center"/>
          </w:tcPr>
          <w:p>
            <w:pPr>
              <w:pStyle w:val="11"/>
            </w:pPr>
            <w:r>
              <w:t>555.14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1485.75</w:t>
            </w:r>
          </w:p>
        </w:tc>
        <w:tc>
          <w:tcPr>
            <w:tcW w:w="2551" w:type="dxa"/>
            <w:vAlign w:val="center"/>
          </w:tcPr>
          <w:p>
            <w:pPr>
              <w:pStyle w:val="11"/>
            </w:pPr>
            <w:r>
              <w:t>930.61</w:t>
            </w:r>
          </w:p>
        </w:tc>
        <w:tc>
          <w:tcPr>
            <w:tcW w:w="2551" w:type="dxa"/>
            <w:vAlign w:val="center"/>
          </w:tcPr>
          <w:p>
            <w:pPr>
              <w:pStyle w:val="11"/>
            </w:pPr>
            <w:r>
              <w:t>555.14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930.61</w:t>
            </w:r>
          </w:p>
        </w:tc>
        <w:tc>
          <w:tcPr>
            <w:tcW w:w="2551" w:type="dxa"/>
            <w:vAlign w:val="center"/>
          </w:tcPr>
          <w:p>
            <w:pPr>
              <w:pStyle w:val="11"/>
            </w:pPr>
            <w:r>
              <w:t>930.61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55.30</w:t>
            </w:r>
          </w:p>
        </w:tc>
        <w:tc>
          <w:tcPr>
            <w:tcW w:w="2551" w:type="dxa"/>
            <w:vAlign w:val="center"/>
          </w:tcPr>
          <w:p>
            <w:pPr>
              <w:pStyle w:val="11"/>
            </w:pPr>
          </w:p>
        </w:tc>
        <w:tc>
          <w:tcPr>
            <w:tcW w:w="2551" w:type="dxa"/>
            <w:vAlign w:val="center"/>
          </w:tcPr>
          <w:p>
            <w:pPr>
              <w:pStyle w:val="11"/>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48.84</w:t>
            </w:r>
          </w:p>
        </w:tc>
        <w:tc>
          <w:tcPr>
            <w:tcW w:w="2551" w:type="dxa"/>
            <w:vAlign w:val="center"/>
          </w:tcPr>
          <w:p>
            <w:pPr>
              <w:pStyle w:val="11"/>
            </w:pPr>
          </w:p>
        </w:tc>
        <w:tc>
          <w:tcPr>
            <w:tcW w:w="2551" w:type="dxa"/>
            <w:vAlign w:val="center"/>
          </w:tcPr>
          <w:p>
            <w:pPr>
              <w:pStyle w:val="11"/>
            </w:pPr>
            <w:r>
              <w:t>48.84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411.00</w:t>
            </w:r>
          </w:p>
        </w:tc>
        <w:tc>
          <w:tcPr>
            <w:tcW w:w="2551" w:type="dxa"/>
            <w:vAlign w:val="center"/>
          </w:tcPr>
          <w:p>
            <w:pPr>
              <w:pStyle w:val="11"/>
            </w:pPr>
          </w:p>
        </w:tc>
        <w:tc>
          <w:tcPr>
            <w:tcW w:w="2551" w:type="dxa"/>
            <w:vAlign w:val="center"/>
          </w:tcPr>
          <w:p>
            <w:pPr>
              <w:pStyle w:val="11"/>
            </w:pPr>
            <w:r>
              <w:t>411.00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373.16</w:t>
            </w:r>
          </w:p>
        </w:tc>
        <w:tc>
          <w:tcPr>
            <w:tcW w:w="2551" w:type="dxa"/>
            <w:vAlign w:val="center"/>
          </w:tcPr>
          <w:p>
            <w:pPr>
              <w:pStyle w:val="11"/>
            </w:pPr>
            <w:r>
              <w:t>373.16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373.16</w:t>
            </w:r>
          </w:p>
        </w:tc>
        <w:tc>
          <w:tcPr>
            <w:tcW w:w="2551" w:type="dxa"/>
            <w:vAlign w:val="center"/>
          </w:tcPr>
          <w:p>
            <w:pPr>
              <w:pStyle w:val="11"/>
            </w:pPr>
            <w:r>
              <w:t>373.16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282.72</w:t>
            </w:r>
          </w:p>
        </w:tc>
        <w:tc>
          <w:tcPr>
            <w:tcW w:w="2551" w:type="dxa"/>
            <w:vAlign w:val="center"/>
          </w:tcPr>
          <w:p>
            <w:pPr>
              <w:pStyle w:val="11"/>
            </w:pPr>
            <w:r>
              <w:t>282.72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7.69</w:t>
            </w:r>
          </w:p>
        </w:tc>
        <w:tc>
          <w:tcPr>
            <w:tcW w:w="2551" w:type="dxa"/>
            <w:vAlign w:val="center"/>
          </w:tcPr>
          <w:p>
            <w:pPr>
              <w:pStyle w:val="11"/>
            </w:pPr>
          </w:p>
        </w:tc>
        <w:tc>
          <w:tcPr>
            <w:tcW w:w="2551" w:type="dxa"/>
            <w:vAlign w:val="center"/>
          </w:tcPr>
          <w:p>
            <w:pPr>
              <w:pStyle w:val="11"/>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7.69</w:t>
            </w:r>
          </w:p>
        </w:tc>
        <w:tc>
          <w:tcPr>
            <w:tcW w:w="2551" w:type="dxa"/>
            <w:vAlign w:val="center"/>
          </w:tcPr>
          <w:p>
            <w:pPr>
              <w:pStyle w:val="11"/>
            </w:pPr>
          </w:p>
        </w:tc>
        <w:tc>
          <w:tcPr>
            <w:tcW w:w="2551" w:type="dxa"/>
            <w:vAlign w:val="center"/>
          </w:tcPr>
          <w:p>
            <w:pPr>
              <w:pStyle w:val="11"/>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7.69</w:t>
            </w:r>
          </w:p>
        </w:tc>
        <w:tc>
          <w:tcPr>
            <w:tcW w:w="2551" w:type="dxa"/>
            <w:vAlign w:val="center"/>
          </w:tcPr>
          <w:p>
            <w:pPr>
              <w:pStyle w:val="11"/>
            </w:pPr>
          </w:p>
        </w:tc>
        <w:tc>
          <w:tcPr>
            <w:tcW w:w="2551" w:type="dxa"/>
            <w:vAlign w:val="center"/>
          </w:tcPr>
          <w:p>
            <w:pPr>
              <w:pStyle w:val="11"/>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85.08</w:t>
            </w:r>
          </w:p>
        </w:tc>
        <w:tc>
          <w:tcPr>
            <w:tcW w:w="2551" w:type="dxa"/>
            <w:vAlign w:val="center"/>
          </w:tcPr>
          <w:p>
            <w:pPr>
              <w:pStyle w:val="11"/>
            </w:pPr>
            <w:r>
              <w:t>85.08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85.08</w:t>
            </w:r>
          </w:p>
        </w:tc>
        <w:tc>
          <w:tcPr>
            <w:tcW w:w="2551" w:type="dxa"/>
            <w:vAlign w:val="center"/>
          </w:tcPr>
          <w:p>
            <w:pPr>
              <w:pStyle w:val="11"/>
            </w:pPr>
            <w:r>
              <w:t>85.08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85.08</w:t>
            </w:r>
          </w:p>
        </w:tc>
        <w:tc>
          <w:tcPr>
            <w:tcW w:w="2551" w:type="dxa"/>
            <w:vAlign w:val="center"/>
          </w:tcPr>
          <w:p>
            <w:pPr>
              <w:pStyle w:val="11"/>
            </w:pPr>
            <w:r>
              <w:t>85.08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1453.86</w:t>
            </w:r>
          </w:p>
        </w:tc>
        <w:tc>
          <w:tcPr>
            <w:tcW w:w="2551" w:type="dxa"/>
            <w:vAlign w:val="center"/>
          </w:tcPr>
          <w:p>
            <w:pPr>
              <w:pStyle w:val="15"/>
            </w:pPr>
            <w:r>
              <w:t>1216.15</w:t>
            </w:r>
          </w:p>
        </w:tc>
        <w:tc>
          <w:tcPr>
            <w:tcW w:w="2551" w:type="dxa"/>
            <w:vAlign w:val="center"/>
          </w:tcPr>
          <w:p>
            <w:pPr>
              <w:pStyle w:val="15"/>
            </w:pPr>
            <w:r>
              <w:t>237.71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937.34</w:t>
            </w:r>
          </w:p>
        </w:tc>
        <w:tc>
          <w:tcPr>
            <w:tcW w:w="2551" w:type="dxa"/>
            <w:vAlign w:val="center"/>
          </w:tcPr>
          <w:p>
            <w:pPr>
              <w:pStyle w:val="11"/>
            </w:pPr>
            <w:r>
              <w:t>937.34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249.93</w:t>
            </w:r>
          </w:p>
        </w:tc>
        <w:tc>
          <w:tcPr>
            <w:tcW w:w="2551" w:type="dxa"/>
            <w:vAlign w:val="center"/>
          </w:tcPr>
          <w:p>
            <w:pPr>
              <w:pStyle w:val="11"/>
            </w:pPr>
            <w:r>
              <w:t>249.93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86.30</w:t>
            </w:r>
          </w:p>
        </w:tc>
        <w:tc>
          <w:tcPr>
            <w:tcW w:w="2551" w:type="dxa"/>
            <w:vAlign w:val="center"/>
          </w:tcPr>
          <w:p>
            <w:pPr>
              <w:pStyle w:val="11"/>
            </w:pPr>
            <w:r>
              <w:t>86.30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55.79</w:t>
            </w:r>
          </w:p>
        </w:tc>
        <w:tc>
          <w:tcPr>
            <w:tcW w:w="2551" w:type="dxa"/>
            <w:vAlign w:val="center"/>
          </w:tcPr>
          <w:p>
            <w:pPr>
              <w:pStyle w:val="11"/>
            </w:pPr>
            <w:r>
              <w:t>55.79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300.37</w:t>
            </w:r>
          </w:p>
        </w:tc>
        <w:tc>
          <w:tcPr>
            <w:tcW w:w="2551" w:type="dxa"/>
            <w:vAlign w:val="center"/>
          </w:tcPr>
          <w:p>
            <w:pPr>
              <w:pStyle w:val="11"/>
            </w:pPr>
            <w:r>
              <w:t>300.37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36.65</w:t>
            </w:r>
          </w:p>
        </w:tc>
        <w:tc>
          <w:tcPr>
            <w:tcW w:w="2551" w:type="dxa"/>
            <w:vAlign w:val="center"/>
          </w:tcPr>
          <w:p>
            <w:pPr>
              <w:pStyle w:val="11"/>
            </w:pPr>
            <w:r>
              <w:t>36.65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28.36</w:t>
            </w:r>
          </w:p>
        </w:tc>
        <w:tc>
          <w:tcPr>
            <w:tcW w:w="2551" w:type="dxa"/>
            <w:vAlign w:val="center"/>
          </w:tcPr>
          <w:p>
            <w:pPr>
              <w:pStyle w:val="11"/>
            </w:pPr>
            <w:r>
              <w:t>28.36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85.08</w:t>
            </w:r>
          </w:p>
        </w:tc>
        <w:tc>
          <w:tcPr>
            <w:tcW w:w="2551" w:type="dxa"/>
            <w:vAlign w:val="center"/>
          </w:tcPr>
          <w:p>
            <w:pPr>
              <w:pStyle w:val="11"/>
            </w:pPr>
            <w:r>
              <w:t>85.08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237.71</w:t>
            </w:r>
          </w:p>
        </w:tc>
        <w:tc>
          <w:tcPr>
            <w:tcW w:w="2551" w:type="dxa"/>
            <w:vAlign w:val="center"/>
          </w:tcPr>
          <w:p>
            <w:pPr>
              <w:pStyle w:val="11"/>
            </w:pPr>
          </w:p>
        </w:tc>
        <w:tc>
          <w:tcPr>
            <w:tcW w:w="2551" w:type="dxa"/>
            <w:vAlign w:val="center"/>
          </w:tcPr>
          <w:p>
            <w:pPr>
              <w:pStyle w:val="11"/>
            </w:pPr>
            <w:r>
              <w:t>237.71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18.53</w:t>
            </w:r>
          </w:p>
        </w:tc>
        <w:tc>
          <w:tcPr>
            <w:tcW w:w="2551" w:type="dxa"/>
            <w:vAlign w:val="center"/>
          </w:tcPr>
          <w:p>
            <w:pPr>
              <w:pStyle w:val="11"/>
            </w:pPr>
          </w:p>
        </w:tc>
        <w:tc>
          <w:tcPr>
            <w:tcW w:w="2551" w:type="dxa"/>
            <w:vAlign w:val="center"/>
          </w:tcPr>
          <w:p>
            <w:pPr>
              <w:pStyle w:val="11"/>
            </w:pPr>
            <w:r>
              <w:t>18.53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136.46</w:t>
            </w:r>
          </w:p>
        </w:tc>
        <w:tc>
          <w:tcPr>
            <w:tcW w:w="2551" w:type="dxa"/>
            <w:vAlign w:val="center"/>
          </w:tcPr>
          <w:p>
            <w:pPr>
              <w:pStyle w:val="11"/>
            </w:pPr>
          </w:p>
        </w:tc>
        <w:tc>
          <w:tcPr>
            <w:tcW w:w="2551" w:type="dxa"/>
            <w:vAlign w:val="center"/>
          </w:tcPr>
          <w:p>
            <w:pPr>
              <w:pStyle w:val="11"/>
            </w:pPr>
            <w:r>
              <w:t>136.46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5.11</w:t>
            </w:r>
          </w:p>
        </w:tc>
        <w:tc>
          <w:tcPr>
            <w:tcW w:w="2551" w:type="dxa"/>
            <w:vAlign w:val="center"/>
          </w:tcPr>
          <w:p>
            <w:pPr>
              <w:pStyle w:val="11"/>
            </w:pPr>
          </w:p>
        </w:tc>
        <w:tc>
          <w:tcPr>
            <w:tcW w:w="2551" w:type="dxa"/>
            <w:vAlign w:val="center"/>
          </w:tcPr>
          <w:p>
            <w:pPr>
              <w:pStyle w:val="11"/>
            </w:pPr>
            <w:r>
              <w:t>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6.25</w:t>
            </w:r>
          </w:p>
        </w:tc>
        <w:tc>
          <w:tcPr>
            <w:tcW w:w="2551" w:type="dxa"/>
            <w:vAlign w:val="center"/>
          </w:tcPr>
          <w:p>
            <w:pPr>
              <w:pStyle w:val="11"/>
            </w:pPr>
          </w:p>
        </w:tc>
        <w:tc>
          <w:tcPr>
            <w:tcW w:w="2551" w:type="dxa"/>
            <w:vAlign w:val="center"/>
          </w:tcPr>
          <w:p>
            <w:pPr>
              <w:pStyle w:val="11"/>
            </w:pPr>
            <w:r>
              <w:t>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7.87</w:t>
            </w:r>
          </w:p>
        </w:tc>
        <w:tc>
          <w:tcPr>
            <w:tcW w:w="2551" w:type="dxa"/>
            <w:vAlign w:val="center"/>
          </w:tcPr>
          <w:p>
            <w:pPr>
              <w:pStyle w:val="11"/>
            </w:pPr>
          </w:p>
        </w:tc>
        <w:tc>
          <w:tcPr>
            <w:tcW w:w="2551" w:type="dxa"/>
            <w:vAlign w:val="center"/>
          </w:tcPr>
          <w:p>
            <w:pPr>
              <w:pStyle w:val="11"/>
            </w:pPr>
            <w:r>
              <w:t>7.87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278.81</w:t>
            </w:r>
          </w:p>
        </w:tc>
        <w:tc>
          <w:tcPr>
            <w:tcW w:w="2551" w:type="dxa"/>
            <w:vAlign w:val="center"/>
          </w:tcPr>
          <w:p>
            <w:pPr>
              <w:pStyle w:val="11"/>
            </w:pPr>
            <w:r>
              <w:t>278.81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15.18</w:t>
            </w:r>
          </w:p>
        </w:tc>
        <w:tc>
          <w:tcPr>
            <w:tcW w:w="2551" w:type="dxa"/>
            <w:vAlign w:val="center"/>
          </w:tcPr>
          <w:p>
            <w:pPr>
              <w:pStyle w:val="11"/>
            </w:pPr>
            <w:r>
              <w:t>15.18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260.71</w:t>
            </w:r>
          </w:p>
        </w:tc>
        <w:tc>
          <w:tcPr>
            <w:tcW w:w="2551" w:type="dxa"/>
            <w:vAlign w:val="center"/>
          </w:tcPr>
          <w:p>
            <w:pPr>
              <w:pStyle w:val="11"/>
            </w:pPr>
            <w:r>
              <w:t>260.71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10.10</w:t>
            </w:r>
          </w:p>
        </w:tc>
        <w:tc>
          <w:tcPr>
            <w:tcW w:w="2381" w:type="dxa"/>
            <w:vAlign w:val="center"/>
          </w:tcPr>
          <w:p>
            <w:pPr>
              <w:pStyle w:val="15"/>
            </w:pPr>
            <w:r>
              <w:t>10.10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10.10</w:t>
            </w:r>
          </w:p>
        </w:tc>
        <w:tc>
          <w:tcPr>
            <w:tcW w:w="2381" w:type="dxa"/>
            <w:vAlign w:val="center"/>
          </w:tcPr>
          <w:p>
            <w:pPr>
              <w:pStyle w:val="11"/>
            </w:pPr>
            <w:r>
              <w:t>10.10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石家庄市鹿泉区财政局本级2025年单位预算信息公开情况说明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按照《中华人民共和国预算法》、《地方预决算公开操作规程》和《关于进一步推进预算公开工作的实施意见》规定，现将石家庄市鹿泉区财政局本级2025年单位预算公开如下：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贯彻落实党中央和省委、市委、区委关于财政和国有企业监督管理工作的方针政策和决策部署，在履行职责过程中坚持和加强党对财政工作的集中统一领导。主要职责是：</w:t>
      </w:r>
    </w:p>
    <w:p>
      <w:pPr>
        <w:pStyle w:val="17"/>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7"/>
      </w:pPr>
      <w:r>
        <w:t xml:space="preserve">(二)贯彻执行财政、财务、会计管理的法律法规和规章。 </w:t>
      </w:r>
    </w:p>
    <w:p>
      <w:pPr>
        <w:pStyle w:val="17"/>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7"/>
      </w:pPr>
      <w:r>
        <w:t>(四)贯彻执行税收地方性法规和规章、实施细则和税收政策调整方案。提出上级授权税目税率调整、减免和地方税收政策等重大事项的建议。组织推进税收制度改革。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(五)按分工负责政府非税收入管理。负责政府性基金管理，按规定管理行政事业性收费。管理财政票据。贯彻实施彩票管理政策和有关办法，按规定管理彩票资金。</w:t>
      </w:r>
    </w:p>
    <w:p>
      <w:pPr>
        <w:pStyle w:val="17"/>
      </w:pPr>
      <w:r>
        <w:t>(六)研究制定国库管理制度、国库集中收付制度，按规定开展国库资金现金管理工作。组织实施政府财务报告编制工作。制定政府采购制度并监督管。</w:t>
      </w:r>
    </w:p>
    <w:p>
      <w:pPr>
        <w:pStyle w:val="17"/>
      </w:pPr>
      <w:r>
        <w:t>(七)拟订政府债务管理制度和办法并组织实施。负责政府债务限额管理，按规定组织政府债券申报和还本付息等工作。执行国家外债管理政策，管理区政府国外债务。</w:t>
      </w:r>
    </w:p>
    <w:p>
      <w:pPr>
        <w:pStyle w:val="17"/>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7"/>
      </w:pPr>
      <w:r>
        <w:t>(九)负责审核并汇总编制全区国有资本经营预决算草案，组织实施国有资本经营预算制度，收取区属企业国有资本收益。组织实施企业财务制度。</w:t>
      </w:r>
    </w:p>
    <w:p>
      <w:pPr>
        <w:pStyle w:val="17"/>
      </w:pPr>
      <w:r>
        <w:t>(十)负责审核并汇总编制全区社会保险基金预决算草案，会同有关部门拟订有关资金(基金)财务管理制度并组织实施。承担社会保险基金财政监管工作。</w:t>
      </w:r>
    </w:p>
    <w:p>
      <w:pPr>
        <w:pStyle w:val="17"/>
      </w:pPr>
      <w:r>
        <w:t>(十ー)负责办理和监督区级财政的经济发展支出、区级政府性投资项目的财政拨款，参与拟订区级建设投资的有关政策，贯彻执行上级制定的基建财务管理制度。负责财政评审管理。</w:t>
      </w:r>
    </w:p>
    <w:p>
      <w:pPr>
        <w:pStyle w:val="17"/>
      </w:pPr>
      <w:r>
        <w:t>(十ニ)负责管理全区会计工作，监督和规范会计行为，组织实施会计制度</w:t>
      </w:r>
    </w:p>
    <w:p>
      <w:pPr>
        <w:pStyle w:val="17"/>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7"/>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7"/>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7"/>
      </w:pPr>
      <w:r>
        <w:t>(十七)通过法定程序对监管企业负责人进行任免、考核，并根据经营业绩及考核结果对其进行奖惩。</w:t>
      </w:r>
    </w:p>
    <w:p>
      <w:pPr>
        <w:pStyle w:val="17"/>
      </w:pPr>
      <w:r>
        <w:t>(十八)负责组织所监管企业上交国有资本收益，参与制定国有资本经营预算有关管理制度和办法，按照有关规定负责国有资本经营预决算编制和执行等工作。</w:t>
      </w:r>
    </w:p>
    <w:p>
      <w:pPr>
        <w:pStyle w:val="17"/>
      </w:pPr>
      <w:r>
        <w:t>(十九)负责有关监督成果的利用工作，分类处置、督办和深入核查监督检查发现移交的问题，对共性问题组织开展专项核查，组织开展国有资产重大损失调查，提出有关责任追究的意见建议。</w:t>
      </w:r>
    </w:p>
    <w:p>
      <w:pPr>
        <w:pStyle w:val="17"/>
      </w:pPr>
      <w:r>
        <w:t>(二十)按照出资人职责，配合相关部门督促监管企业贯彻落实国家安全生产、环境保护方针政策及有关法律法规、标准等工作。</w:t>
      </w:r>
    </w:p>
    <w:p>
      <w:pPr>
        <w:pStyle w:val="17"/>
      </w:pPr>
      <w:r>
        <w:t>(二十ー)负责监管企业国有资产基础管理，贯彻落实国家、省、市有关国有资产管理的法律法规和政府规章，制定有关制度和办法。</w:t>
      </w:r>
    </w:p>
    <w:p>
      <w:pPr>
        <w:pStyle w:val="17"/>
      </w:pPr>
      <w:r>
        <w:t>(二十ニ)建立健全党建工作责任制，完善企业党建工作考核评价体系，开展所监管企业党建工作考核;指导所监管企业开展党的建设工作。</w:t>
      </w:r>
    </w:p>
    <w:p>
      <w:pPr>
        <w:pStyle w:val="17"/>
      </w:pPr>
      <w:r>
        <w:t>(二十三)指导所监管企业和局属事业单位对巡视巡察、专项检查、审计中发现问题的整改;指导所监管企业开展内部巡察工作。</w:t>
      </w:r>
    </w:p>
    <w:p>
      <w:pPr>
        <w:pStyle w:val="17"/>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2016.69万元，其中：一般公共预算收入2015.00万元，基金预算收入0.00万元，国有资本经营预算收入0.00万元，财政专户核拨收入0.00万元，单位资金收入0.00万元，上年结转结余1.69万元。</w:t>
      </w:r>
    </w:p>
    <w:p>
      <w:pPr>
        <w:pStyle w:val="18"/>
      </w:pPr>
      <w:r>
        <w:t>2、支出说明</w:t>
      </w:r>
    </w:p>
    <w:p>
      <w:pPr>
        <w:pStyle w:val="18"/>
      </w:pPr>
      <w:r>
        <w:t>收支预算总表支出栏、基本支出表、项目支出表按经济分类和支出功能分类科目编制，反映石家庄市鹿泉区财政局本级年度单位预算中支出预算的总体情况。2025年支出预算2016.69万元，其中基本支出1453.86万元，包括人员经费1216.15万元和日常公用经费237.71万元；项目支出562.83万元，主要为评估及国有企业审计业务费200万元，政府购买投资评审服务项目150万元，财政改革业务费40万元，机关服务专项经费39.3万元，税收专项服务项目35万元，财政专网运行维护费29.64万元，保密信息安全建设费10万元，财政专网等级保护测评及整改10万元，预算绩效管理业务费15万元，网络运行维护、服务费9.2万元，法律咨询、律师代理服务费6万元，会计人员培训6万元，提前下达农村财会人员培训费7.69万元，政府财务报告及内控制度委托业务费5万元等。</w:t>
      </w:r>
    </w:p>
    <w:p>
      <w:pPr>
        <w:pStyle w:val="18"/>
      </w:pPr>
      <w:r>
        <w:t>3、比上年增减情况</w:t>
      </w:r>
    </w:p>
    <w:p>
      <w:pPr>
        <w:pStyle w:val="18"/>
      </w:pPr>
      <w:r>
        <w:t>2025年预算收支安排2016.69万元，较2024年预算减少14.71万元，其中：基本支出减少109.10万元，主要为2025年较2024年人员减少，人员经费减少96.13万元、日常公用经费等预算减少12.96万元。项目支出增加94.39万元，主要为本年度增加评估及国有企业审计业务费增加120万元，机关服务专项经费14.3万元，税收专项服务项目5万元，法律咨询、律师代理服务费2万元，农村财会人员培训费7.69万元；减少农村综合改革转移支付资金15万元，会议室终端建设15万元，占地补偿项目核查（旧欠）24.6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2025年，我单位机关运行经费共计安排237.71万元，主要用于日常维修、办公用房水电费、办公用房取暖费、办公用房物业管理费等日常运行支出。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2025年，我单位财政拨款“三公”经费预算安排10.10万元，其中因公出国（境）费0.00万元；公务用车购置及运维费8.10万元（其中：公务用车购置费为0.00万元，公务用车运维费8.10万元)；公务接待费2.00万元。</w:t>
      </w:r>
      <w:bookmarkStart w:id="1" w:name="_GoBack"/>
      <w:bookmarkEnd w:id="1"/>
      <w:r>
        <w:t>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1、保密信息安全建设费绩效目标表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13011025P00003110001H</w:t>
            </w:r>
          </w:p>
        </w:tc>
        <w:tc>
          <w:tcPr>
            <w:tcW w:w="2835" w:type="dxa"/>
            <w:vAlign w:val="center"/>
          </w:tcPr>
          <w:p>
            <w:pPr>
              <w:pStyle w:val="10"/>
            </w:pPr>
            <w:r>
              <w:t>项目名称</w:t>
            </w:r>
          </w:p>
        </w:tc>
        <w:tc>
          <w:tcPr>
            <w:tcW w:w="6095" w:type="dxa"/>
            <w:gridSpan w:val="3"/>
            <w:vAlign w:val="center"/>
          </w:tcPr>
          <w:p>
            <w:pPr>
              <w:pStyle w:val="12"/>
            </w:pPr>
            <w:r>
              <w:t>保密信息安全建设费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用于购置档案柜、档案架、保密设备及保密信息安全建设等。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1.加强档案保密信息安全建设，实现档案工作规范化管理，使档案资源发挥最大效益</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购置档案柜、架、保密设备数量</w:t>
            </w:r>
          </w:p>
        </w:tc>
        <w:tc>
          <w:tcPr>
            <w:tcW w:w="2268" w:type="dxa"/>
            <w:vAlign w:val="center"/>
          </w:tcPr>
          <w:p>
            <w:pPr>
              <w:pStyle w:val="12"/>
            </w:pPr>
            <w:r>
              <w:t>≤100个</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购置设备质量合格率</w:t>
            </w:r>
          </w:p>
        </w:tc>
        <w:tc>
          <w:tcPr>
            <w:tcW w:w="2268" w:type="dxa"/>
            <w:vAlign w:val="center"/>
          </w:tcPr>
          <w:p>
            <w:pPr>
              <w:pStyle w:val="12"/>
            </w:pPr>
            <w:r>
              <w:t>100%</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设备购置计划执行率</w:t>
            </w:r>
          </w:p>
        </w:tc>
        <w:tc>
          <w:tcPr>
            <w:tcW w:w="2268" w:type="dxa"/>
            <w:vAlign w:val="center"/>
          </w:tcPr>
          <w:p>
            <w:pPr>
              <w:pStyle w:val="12"/>
            </w:pPr>
            <w:r>
              <w:t>≥95%</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设备购置成本</w:t>
            </w:r>
          </w:p>
        </w:tc>
        <w:tc>
          <w:tcPr>
            <w:tcW w:w="2268" w:type="dxa"/>
            <w:vAlign w:val="center"/>
          </w:tcPr>
          <w:p>
            <w:pPr>
              <w:pStyle w:val="12"/>
            </w:pPr>
            <w:r>
              <w:t>≤10万元</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设备购置持续使用时间</w:t>
            </w:r>
          </w:p>
        </w:tc>
        <w:tc>
          <w:tcPr>
            <w:tcW w:w="5386" w:type="dxa"/>
            <w:vAlign w:val="center"/>
          </w:tcPr>
          <w:p>
            <w:pPr>
              <w:pStyle w:val="12"/>
            </w:pPr>
            <w:r>
              <w:t>设备购置类项目持续使用时间</w:t>
            </w:r>
          </w:p>
        </w:tc>
        <w:tc>
          <w:tcPr>
            <w:tcW w:w="2268" w:type="dxa"/>
            <w:vAlign w:val="center"/>
          </w:tcPr>
          <w:p>
            <w:pPr>
              <w:pStyle w:val="12"/>
            </w:pPr>
            <w:r>
              <w:t>≥15年</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档案柜、架、保密设备使用率</w:t>
            </w:r>
          </w:p>
        </w:tc>
        <w:tc>
          <w:tcPr>
            <w:tcW w:w="2268" w:type="dxa"/>
            <w:vAlign w:val="center"/>
          </w:tcPr>
          <w:p>
            <w:pPr>
              <w:pStyle w:val="12"/>
            </w:pPr>
            <w:r>
              <w:t>100%</w:t>
            </w:r>
          </w:p>
        </w:tc>
        <w:tc>
          <w:tcPr>
            <w:tcW w:w="1276" w:type="dxa"/>
            <w:vAlign w:val="center"/>
          </w:tcPr>
          <w:p>
            <w:pPr>
              <w:pStyle w:val="12"/>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设备使用的满意率</w:t>
            </w:r>
          </w:p>
        </w:tc>
        <w:tc>
          <w:tcPr>
            <w:tcW w:w="5386" w:type="dxa"/>
            <w:vAlign w:val="center"/>
          </w:tcPr>
          <w:p>
            <w:pPr>
              <w:pStyle w:val="12"/>
            </w:pPr>
            <w:r>
              <w:t>档案柜、架、保密设备使用满意率</w:t>
            </w:r>
          </w:p>
        </w:tc>
        <w:tc>
          <w:tcPr>
            <w:tcW w:w="2268" w:type="dxa"/>
            <w:vAlign w:val="center"/>
          </w:tcPr>
          <w:p>
            <w:pPr>
              <w:pStyle w:val="12"/>
            </w:pPr>
            <w:r>
              <w:t>≥95%</w:t>
            </w:r>
          </w:p>
        </w:tc>
        <w:tc>
          <w:tcPr>
            <w:tcW w:w="1276" w:type="dxa"/>
            <w:vAlign w:val="center"/>
          </w:tcPr>
          <w:p>
            <w:pPr>
              <w:pStyle w:val="12"/>
            </w:pPr>
            <w:r>
              <w:t>机关档案管理规定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2、财政改革业务费绩效目标表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13011025P001512100012</w:t>
            </w:r>
          </w:p>
        </w:tc>
        <w:tc>
          <w:tcPr>
            <w:tcW w:w="2835" w:type="dxa"/>
            <w:vAlign w:val="center"/>
          </w:tcPr>
          <w:p>
            <w:pPr>
              <w:pStyle w:val="10"/>
            </w:pPr>
            <w:r>
              <w:t>项目名称</w:t>
            </w:r>
          </w:p>
        </w:tc>
        <w:tc>
          <w:tcPr>
            <w:tcW w:w="6095" w:type="dxa"/>
            <w:gridSpan w:val="3"/>
            <w:vAlign w:val="center"/>
          </w:tcPr>
          <w:p>
            <w:pPr>
              <w:pStyle w:val="12"/>
            </w:pPr>
            <w:r>
              <w:t>财政改革业务费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预算、国库集中支付推行会计集中核算平台及预算管理一体化部门决算系统、政府采购、预算绩效管理、涉农项目财政管理及农村综合改革业务等财政改革业务的培训，宣传，软件运维，办公用品及办公耗材，办公设备购置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1.顺利推进财政改革业务，保证完成各级下达的指标任务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改革业务的数量</w:t>
            </w:r>
          </w:p>
        </w:tc>
        <w:tc>
          <w:tcPr>
            <w:tcW w:w="5386" w:type="dxa"/>
            <w:vAlign w:val="center"/>
          </w:tcPr>
          <w:p>
            <w:pPr>
              <w:pStyle w:val="12"/>
            </w:pPr>
            <w:r>
              <w:t>财政部门通知的改革业务的数量</w:t>
            </w:r>
          </w:p>
        </w:tc>
        <w:tc>
          <w:tcPr>
            <w:tcW w:w="2268" w:type="dxa"/>
            <w:vAlign w:val="center"/>
          </w:tcPr>
          <w:p>
            <w:pPr>
              <w:pStyle w:val="12"/>
            </w:pPr>
            <w:r>
              <w:t>≥3项</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业务改革达标情况</w:t>
            </w:r>
          </w:p>
        </w:tc>
        <w:tc>
          <w:tcPr>
            <w:tcW w:w="5386" w:type="dxa"/>
            <w:vAlign w:val="center"/>
          </w:tcPr>
          <w:p>
            <w:pPr>
              <w:pStyle w:val="12"/>
            </w:pPr>
            <w:r>
              <w:t>完成目标任务达到改革目标</w:t>
            </w:r>
          </w:p>
        </w:tc>
        <w:tc>
          <w:tcPr>
            <w:tcW w:w="2268" w:type="dxa"/>
            <w:vAlign w:val="center"/>
          </w:tcPr>
          <w:p>
            <w:pPr>
              <w:pStyle w:val="12"/>
            </w:pPr>
            <w:r>
              <w:t>达到改革要求</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各项改革业务完成及时率</w:t>
            </w:r>
          </w:p>
        </w:tc>
        <w:tc>
          <w:tcPr>
            <w:tcW w:w="5386" w:type="dxa"/>
            <w:vAlign w:val="center"/>
          </w:tcPr>
          <w:p>
            <w:pPr>
              <w:pStyle w:val="12"/>
            </w:pPr>
            <w:r>
              <w:t>各项业务改革及时完成的比例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业务改革成本</w:t>
            </w:r>
          </w:p>
        </w:tc>
        <w:tc>
          <w:tcPr>
            <w:tcW w:w="5386" w:type="dxa"/>
            <w:vAlign w:val="center"/>
          </w:tcPr>
          <w:p>
            <w:pPr>
              <w:pStyle w:val="12"/>
            </w:pPr>
            <w:r>
              <w:t>完成目标工作需要的总成本</w:t>
            </w:r>
          </w:p>
        </w:tc>
        <w:tc>
          <w:tcPr>
            <w:tcW w:w="2268" w:type="dxa"/>
            <w:vAlign w:val="center"/>
          </w:tcPr>
          <w:p>
            <w:pPr>
              <w:pStyle w:val="12"/>
            </w:pPr>
            <w:r>
              <w:t>≤40万元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改革成果落实率</w:t>
            </w:r>
          </w:p>
        </w:tc>
        <w:tc>
          <w:tcPr>
            <w:tcW w:w="5386" w:type="dxa"/>
            <w:vAlign w:val="center"/>
          </w:tcPr>
          <w:p>
            <w:pPr>
              <w:pStyle w:val="12"/>
            </w:pPr>
            <w:r>
              <w:t>改革成果落实程度</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使用人员满意情况</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3、财政专网等级保护测评及整改绩效目标表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13011025P00003410001J</w:t>
            </w:r>
          </w:p>
        </w:tc>
        <w:tc>
          <w:tcPr>
            <w:tcW w:w="2835" w:type="dxa"/>
            <w:vAlign w:val="center"/>
          </w:tcPr>
          <w:p>
            <w:pPr>
              <w:pStyle w:val="10"/>
            </w:pPr>
            <w:r>
              <w:t>项目名称</w:t>
            </w:r>
          </w:p>
        </w:tc>
        <w:tc>
          <w:tcPr>
            <w:tcW w:w="6095" w:type="dxa"/>
            <w:gridSpan w:val="3"/>
            <w:vAlign w:val="center"/>
          </w:tcPr>
          <w:p>
            <w:pPr>
              <w:pStyle w:val="12"/>
            </w:pPr>
            <w:r>
              <w:t>财政专网等级保护测评及整改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对财政专网维护、升级，对三级等级保护进行测评及整改等。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1.优化网络安全环境，达到上级信息安全标准</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监控保护财政网络用户数量</w:t>
            </w:r>
          </w:p>
        </w:tc>
        <w:tc>
          <w:tcPr>
            <w:tcW w:w="5386" w:type="dxa"/>
            <w:vAlign w:val="center"/>
          </w:tcPr>
          <w:p>
            <w:pPr>
              <w:pStyle w:val="12"/>
            </w:pPr>
            <w:r>
              <w:t>监控保护财政网络用户数量</w:t>
            </w:r>
          </w:p>
        </w:tc>
        <w:tc>
          <w:tcPr>
            <w:tcW w:w="2268" w:type="dxa"/>
            <w:vAlign w:val="center"/>
          </w:tcPr>
          <w:p>
            <w:pPr>
              <w:pStyle w:val="12"/>
            </w:pPr>
            <w:r>
              <w:t>≥200户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系统运行质量</w:t>
            </w:r>
          </w:p>
        </w:tc>
        <w:tc>
          <w:tcPr>
            <w:tcW w:w="5386" w:type="dxa"/>
            <w:vAlign w:val="center"/>
          </w:tcPr>
          <w:p>
            <w:pPr>
              <w:pStyle w:val="12"/>
            </w:pPr>
            <w:r>
              <w:t>系统运行质量</w:t>
            </w:r>
          </w:p>
        </w:tc>
        <w:tc>
          <w:tcPr>
            <w:tcW w:w="2268" w:type="dxa"/>
            <w:vAlign w:val="center"/>
          </w:tcPr>
          <w:p>
            <w:pPr>
              <w:pStyle w:val="12"/>
            </w:pPr>
            <w:r>
              <w:t>提高防护安全等级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及时发现并降低系统安全风险</w:t>
            </w:r>
          </w:p>
        </w:tc>
        <w:tc>
          <w:tcPr>
            <w:tcW w:w="5386" w:type="dxa"/>
            <w:vAlign w:val="center"/>
          </w:tcPr>
          <w:p>
            <w:pPr>
              <w:pStyle w:val="12"/>
            </w:pPr>
            <w:r>
              <w:t>及时发现风险的数量占总发现风险数量的比例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购置安全设备及测评整改服务</w:t>
            </w:r>
          </w:p>
        </w:tc>
        <w:tc>
          <w:tcPr>
            <w:tcW w:w="5386" w:type="dxa"/>
            <w:vAlign w:val="center"/>
          </w:tcPr>
          <w:p>
            <w:pPr>
              <w:pStyle w:val="12"/>
            </w:pPr>
            <w:r>
              <w:t>购置安全设备及测评整改服务</w:t>
            </w:r>
          </w:p>
        </w:tc>
        <w:tc>
          <w:tcPr>
            <w:tcW w:w="2268" w:type="dxa"/>
            <w:vAlign w:val="center"/>
          </w:tcPr>
          <w:p>
            <w:pPr>
              <w:pStyle w:val="12"/>
            </w:pPr>
            <w:r>
              <w:t>≤10万元</w:t>
            </w:r>
          </w:p>
        </w:tc>
        <w:tc>
          <w:tcPr>
            <w:tcW w:w="1276" w:type="dxa"/>
            <w:vAlign w:val="center"/>
          </w:tcPr>
          <w:p>
            <w:pPr>
              <w:pStyle w:val="12"/>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提升信息化建设质量</w:t>
            </w:r>
          </w:p>
        </w:tc>
        <w:tc>
          <w:tcPr>
            <w:tcW w:w="5386" w:type="dxa"/>
            <w:vAlign w:val="center"/>
          </w:tcPr>
          <w:p>
            <w:pPr>
              <w:pStyle w:val="12"/>
            </w:pPr>
            <w:r>
              <w:t>提高网络运行安全防护程度</w:t>
            </w:r>
          </w:p>
        </w:tc>
        <w:tc>
          <w:tcPr>
            <w:tcW w:w="2268" w:type="dxa"/>
            <w:vAlign w:val="center"/>
          </w:tcPr>
          <w:p>
            <w:pPr>
              <w:pStyle w:val="12"/>
            </w:pPr>
            <w:r>
              <w:t>大大提高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网络安全稳定运行情况</w:t>
            </w:r>
          </w:p>
        </w:tc>
        <w:tc>
          <w:tcPr>
            <w:tcW w:w="5386" w:type="dxa"/>
            <w:vAlign w:val="center"/>
          </w:tcPr>
          <w:p>
            <w:pPr>
              <w:pStyle w:val="12"/>
            </w:pPr>
            <w:r>
              <w:t>保障网络安全稳定运行</w:t>
            </w:r>
          </w:p>
        </w:tc>
        <w:tc>
          <w:tcPr>
            <w:tcW w:w="2268" w:type="dxa"/>
            <w:vAlign w:val="center"/>
          </w:tcPr>
          <w:p>
            <w:pPr>
              <w:pStyle w:val="12"/>
            </w:pPr>
            <w:r>
              <w:t>长期安全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服务对象满意占总调查数量的比例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4、财政专网运行维护费绩效目标表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13011025P00150510001U</w:t>
            </w:r>
          </w:p>
        </w:tc>
        <w:tc>
          <w:tcPr>
            <w:tcW w:w="2835" w:type="dxa"/>
            <w:vAlign w:val="center"/>
          </w:tcPr>
          <w:p>
            <w:pPr>
              <w:pStyle w:val="10"/>
            </w:pPr>
            <w:r>
              <w:t>项目名称</w:t>
            </w:r>
          </w:p>
        </w:tc>
        <w:tc>
          <w:tcPr>
            <w:tcW w:w="6095" w:type="dxa"/>
            <w:gridSpan w:val="3"/>
            <w:vAlign w:val="center"/>
          </w:tcPr>
          <w:p>
            <w:pPr>
              <w:pStyle w:val="12"/>
            </w:pPr>
            <w:r>
              <w:t>财政专网运行维护费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29.64</w:t>
            </w:r>
          </w:p>
        </w:tc>
        <w:tc>
          <w:tcPr>
            <w:tcW w:w="2835" w:type="dxa"/>
            <w:vAlign w:val="center"/>
          </w:tcPr>
          <w:p>
            <w:pPr>
              <w:pStyle w:val="10"/>
            </w:pPr>
            <w:r>
              <w:t>其中：财政    资金</w:t>
            </w:r>
          </w:p>
        </w:tc>
        <w:tc>
          <w:tcPr>
            <w:tcW w:w="2551" w:type="dxa"/>
            <w:vAlign w:val="center"/>
          </w:tcPr>
          <w:p>
            <w:pPr>
              <w:pStyle w:val="12"/>
            </w:pPr>
            <w:r>
              <w:t>29.64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用于全区108个财政专线网络租赁费29.64万元。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1.租用108个财政专线大大提高办公效率，保障网络安全运行。</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网络专线租用成本控制率</w:t>
            </w:r>
          </w:p>
        </w:tc>
        <w:tc>
          <w:tcPr>
            <w:tcW w:w="5386" w:type="dxa"/>
            <w:vAlign w:val="center"/>
          </w:tcPr>
          <w:p>
            <w:pPr>
              <w:pStyle w:val="12"/>
            </w:pPr>
            <w:r>
              <w:t>网络专线租用成本控制率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网络和线路租赁数量</w:t>
            </w:r>
          </w:p>
        </w:tc>
        <w:tc>
          <w:tcPr>
            <w:tcW w:w="5386" w:type="dxa"/>
            <w:vAlign w:val="center"/>
          </w:tcPr>
          <w:p>
            <w:pPr>
              <w:pStyle w:val="12"/>
            </w:pPr>
            <w:r>
              <w:t>租赁网络和线路数量</w:t>
            </w:r>
          </w:p>
        </w:tc>
        <w:tc>
          <w:tcPr>
            <w:tcW w:w="2268" w:type="dxa"/>
            <w:vAlign w:val="center"/>
          </w:tcPr>
          <w:p>
            <w:pPr>
              <w:pStyle w:val="12"/>
            </w:pPr>
            <w:r>
              <w:t>108个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网络正常运行保障率</w:t>
            </w:r>
          </w:p>
        </w:tc>
        <w:tc>
          <w:tcPr>
            <w:tcW w:w="5386" w:type="dxa"/>
            <w:vAlign w:val="center"/>
          </w:tcPr>
          <w:p>
            <w:pPr>
              <w:pStyle w:val="12"/>
            </w:pPr>
            <w:r>
              <w:t>网络正常运行保障率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网络维护响应时间</w:t>
            </w:r>
          </w:p>
        </w:tc>
        <w:tc>
          <w:tcPr>
            <w:tcW w:w="5386" w:type="dxa"/>
            <w:vAlign w:val="center"/>
          </w:tcPr>
          <w:p>
            <w:pPr>
              <w:pStyle w:val="12"/>
            </w:pPr>
            <w:r>
              <w:t>网络维护响应时间</w:t>
            </w:r>
          </w:p>
        </w:tc>
        <w:tc>
          <w:tcPr>
            <w:tcW w:w="2268" w:type="dxa"/>
            <w:vAlign w:val="center"/>
          </w:tcPr>
          <w:p>
            <w:pPr>
              <w:pStyle w:val="12"/>
            </w:pPr>
            <w:r>
              <w:t>≤15分钟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网络使用率</w:t>
            </w:r>
          </w:p>
        </w:tc>
        <w:tc>
          <w:tcPr>
            <w:tcW w:w="5386" w:type="dxa"/>
            <w:vAlign w:val="center"/>
          </w:tcPr>
          <w:p>
            <w:pPr>
              <w:pStyle w:val="12"/>
            </w:pPr>
            <w:r>
              <w:t>财政专网使用比例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财政专网的安全保证，提高工作效率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办公人员对使用网络的满意度</w:t>
            </w:r>
          </w:p>
        </w:tc>
        <w:tc>
          <w:tcPr>
            <w:tcW w:w="5386" w:type="dxa"/>
            <w:vAlign w:val="center"/>
          </w:tcPr>
          <w:p>
            <w:pPr>
              <w:pStyle w:val="12"/>
            </w:pPr>
            <w:r>
              <w:t>办公人员对使用网络的满意度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5、法律咨询、律师代理服务费绩效目标表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13011025P00151210009Y</w:t>
            </w:r>
          </w:p>
        </w:tc>
        <w:tc>
          <w:tcPr>
            <w:tcW w:w="2835" w:type="dxa"/>
            <w:vAlign w:val="center"/>
          </w:tcPr>
          <w:p>
            <w:pPr>
              <w:pStyle w:val="10"/>
            </w:pPr>
            <w:r>
              <w:t>项目名称</w:t>
            </w:r>
          </w:p>
        </w:tc>
        <w:tc>
          <w:tcPr>
            <w:tcW w:w="6095" w:type="dxa"/>
            <w:gridSpan w:val="3"/>
            <w:vAlign w:val="center"/>
          </w:tcPr>
          <w:p>
            <w:pPr>
              <w:pStyle w:val="12"/>
            </w:pPr>
            <w:r>
              <w:t>法律咨询、律师代理服务费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聘请法律顾问服务费。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1.聘请法律顾问，提高职工法律知识，提供法律咨询，维护单位合法权益</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≥4次</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5386" w:type="dxa"/>
            <w:vAlign w:val="center"/>
          </w:tcPr>
          <w:p>
            <w:pPr>
              <w:pStyle w:val="12"/>
            </w:pPr>
            <w:r>
              <w:t>法律服务质量</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提供服务及时率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咨询服务费</w:t>
            </w:r>
          </w:p>
        </w:tc>
        <w:tc>
          <w:tcPr>
            <w:tcW w:w="5386" w:type="dxa"/>
            <w:vAlign w:val="center"/>
          </w:tcPr>
          <w:p>
            <w:pPr>
              <w:pStyle w:val="12"/>
            </w:pPr>
            <w:r>
              <w:t>法律咨询、律师代理服务费用</w:t>
            </w:r>
          </w:p>
        </w:tc>
        <w:tc>
          <w:tcPr>
            <w:tcW w:w="2268" w:type="dxa"/>
            <w:vAlign w:val="center"/>
          </w:tcPr>
          <w:p>
            <w:pPr>
              <w:pStyle w:val="12"/>
            </w:pPr>
            <w:r>
              <w:t>≤6万元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5386" w:type="dxa"/>
            <w:vAlign w:val="center"/>
          </w:tcPr>
          <w:p>
            <w:pPr>
              <w:pStyle w:val="12"/>
            </w:pPr>
            <w:r>
              <w:t>保障服务能力</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法律服务专线接通率</w:t>
            </w:r>
          </w:p>
        </w:tc>
        <w:tc>
          <w:tcPr>
            <w:tcW w:w="5386" w:type="dxa"/>
            <w:vAlign w:val="center"/>
          </w:tcPr>
          <w:p>
            <w:pPr>
              <w:pStyle w:val="12"/>
            </w:pPr>
            <w:r>
              <w:t>法律服务专线接通率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单位对提供的法律咨询、律师代理服务的满意度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6、关于提前下达2024年省级农村财会人员培训资金预算的通知绩效目标表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13011024P00001210536E</w:t>
            </w:r>
          </w:p>
        </w:tc>
        <w:tc>
          <w:tcPr>
            <w:tcW w:w="2835" w:type="dxa"/>
            <w:vAlign w:val="center"/>
          </w:tcPr>
          <w:p>
            <w:pPr>
              <w:pStyle w:val="10"/>
            </w:pPr>
            <w:r>
              <w:t>项目名称</w:t>
            </w:r>
          </w:p>
        </w:tc>
        <w:tc>
          <w:tcPr>
            <w:tcW w:w="6095" w:type="dxa"/>
            <w:gridSpan w:val="3"/>
            <w:vAlign w:val="center"/>
          </w:tcPr>
          <w:p>
            <w:pPr>
              <w:pStyle w:val="12"/>
            </w:pPr>
            <w:r>
              <w:t>关于提前下达2024年省级农村财会人员培训资金预算的通知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w:t>
            </w:r>
          </w:p>
        </w:tc>
        <w:tc>
          <w:tcPr>
            <w:tcW w:w="2835" w:type="dxa"/>
            <w:vAlign w:val="center"/>
          </w:tcPr>
          <w:p>
            <w:pPr>
              <w:pStyle w:val="10"/>
            </w:pPr>
            <w:r>
              <w:t>其中：财政    资金</w:t>
            </w:r>
          </w:p>
        </w:tc>
        <w:tc>
          <w:tcPr>
            <w:tcW w:w="2551" w:type="dxa"/>
            <w:vAlign w:val="center"/>
          </w:tcPr>
          <w:p>
            <w:pPr>
              <w:pStyle w:val="12"/>
            </w:pPr>
            <w:r>
              <w:t>1.69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用于支持做好农村财会人员支农政策培训工作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1.做好农村财会人员财政支农政策培训工作，提高农村财会人员政策水平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5386" w:type="dxa"/>
            <w:vAlign w:val="center"/>
          </w:tcPr>
          <w:p>
            <w:pPr>
              <w:pStyle w:val="12"/>
            </w:pPr>
            <w:r>
              <w:t>参加农村财会人员培训的人数</w:t>
            </w:r>
          </w:p>
        </w:tc>
        <w:tc>
          <w:tcPr>
            <w:tcW w:w="2268" w:type="dxa"/>
            <w:vAlign w:val="center"/>
          </w:tcPr>
          <w:p>
            <w:pPr>
              <w:pStyle w:val="12"/>
            </w:pPr>
            <w:r>
              <w:t>≥800人</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参加农村财会人员培训合格的人数占总财会人员的比率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培训任务完成率</w:t>
            </w:r>
          </w:p>
        </w:tc>
        <w:tc>
          <w:tcPr>
            <w:tcW w:w="5386" w:type="dxa"/>
            <w:vAlign w:val="center"/>
          </w:tcPr>
          <w:p>
            <w:pPr>
              <w:pStyle w:val="12"/>
            </w:pPr>
            <w:r>
              <w:t>培训任务完成率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≤80元</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农村财会人员培训率</w:t>
            </w:r>
          </w:p>
        </w:tc>
        <w:tc>
          <w:tcPr>
            <w:tcW w:w="5386" w:type="dxa"/>
            <w:vAlign w:val="center"/>
          </w:tcPr>
          <w:p>
            <w:pPr>
              <w:pStyle w:val="12"/>
            </w:pPr>
            <w:r>
              <w:t>参加农村财会人员培训的人数占总财会人员的比率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5386" w:type="dxa"/>
            <w:vAlign w:val="center"/>
          </w:tcPr>
          <w:p>
            <w:pPr>
              <w:pStyle w:val="12"/>
            </w:pPr>
            <w:r>
              <w:t>提高农村财会人员政策水平</w:t>
            </w:r>
          </w:p>
        </w:tc>
        <w:tc>
          <w:tcPr>
            <w:tcW w:w="2268" w:type="dxa"/>
            <w:vAlign w:val="center"/>
          </w:tcPr>
          <w:p>
            <w:pPr>
              <w:pStyle w:val="12"/>
            </w:pPr>
            <w:r>
              <w:t>明显提高</w:t>
            </w:r>
          </w:p>
        </w:tc>
        <w:tc>
          <w:tcPr>
            <w:tcW w:w="1276" w:type="dxa"/>
            <w:vAlign w:val="center"/>
          </w:tcPr>
          <w:p>
            <w:pPr>
              <w:pStyle w:val="12"/>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5386" w:type="dxa"/>
            <w:vAlign w:val="center"/>
          </w:tcPr>
          <w:p>
            <w:pPr>
              <w:pStyle w:val="12"/>
            </w:pPr>
            <w:r>
              <w:t>参加农村财会人员培训的满意度</w:t>
            </w:r>
          </w:p>
        </w:tc>
        <w:tc>
          <w:tcPr>
            <w:tcW w:w="2268" w:type="dxa"/>
            <w:vAlign w:val="center"/>
          </w:tcPr>
          <w:p>
            <w:pPr>
              <w:pStyle w:val="12"/>
            </w:pPr>
            <w:r>
              <w:t>100%</w:t>
            </w:r>
          </w:p>
        </w:tc>
        <w:tc>
          <w:tcPr>
            <w:tcW w:w="1276" w:type="dxa"/>
            <w:vAlign w:val="center"/>
          </w:tcPr>
          <w:p>
            <w:pPr>
              <w:pStyle w:val="12"/>
            </w:pPr>
            <w:r>
              <w:t>石财农【2023】103号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7、会计人员培训费绩效目标表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13011025P00151210008B</w:t>
            </w:r>
          </w:p>
        </w:tc>
        <w:tc>
          <w:tcPr>
            <w:tcW w:w="2835" w:type="dxa"/>
            <w:vAlign w:val="center"/>
          </w:tcPr>
          <w:p>
            <w:pPr>
              <w:pStyle w:val="10"/>
            </w:pPr>
            <w:r>
              <w:t>项目名称</w:t>
            </w:r>
          </w:p>
        </w:tc>
        <w:tc>
          <w:tcPr>
            <w:tcW w:w="6095" w:type="dxa"/>
            <w:gridSpan w:val="3"/>
            <w:vAlign w:val="center"/>
          </w:tcPr>
          <w:p>
            <w:pPr>
              <w:pStyle w:val="12"/>
            </w:pPr>
            <w:r>
              <w:t>会计人员培训费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用于对会计人员的培训。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1.为了增强我区会计人员业务知识，加强会计人员懂法守法职业操守</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组织培训的次数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培训合格的人员数量占培训总人员数量的比例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5386" w:type="dxa"/>
            <w:vAlign w:val="center"/>
          </w:tcPr>
          <w:p>
            <w:pPr>
              <w:pStyle w:val="12"/>
            </w:pPr>
            <w:r>
              <w:t>培训按期完成的比例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组织培训的花费</w:t>
            </w:r>
          </w:p>
        </w:tc>
        <w:tc>
          <w:tcPr>
            <w:tcW w:w="2268" w:type="dxa"/>
            <w:vAlign w:val="center"/>
          </w:tcPr>
          <w:p>
            <w:pPr>
              <w:pStyle w:val="12"/>
            </w:pPr>
            <w:r>
              <w:t>≤6万元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培训人员业务提升情况</w:t>
            </w:r>
          </w:p>
        </w:tc>
        <w:tc>
          <w:tcPr>
            <w:tcW w:w="5386" w:type="dxa"/>
            <w:vAlign w:val="center"/>
          </w:tcPr>
          <w:p>
            <w:pPr>
              <w:pStyle w:val="12"/>
            </w:pPr>
            <w:r>
              <w:t>培训内容对培训人员实际工作上的提升效果</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8、机关服务专项经费绩效目标表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13011025P00151210007P</w:t>
            </w:r>
          </w:p>
        </w:tc>
        <w:tc>
          <w:tcPr>
            <w:tcW w:w="2835" w:type="dxa"/>
            <w:vAlign w:val="center"/>
          </w:tcPr>
          <w:p>
            <w:pPr>
              <w:pStyle w:val="10"/>
            </w:pPr>
            <w:r>
              <w:t>项目名称</w:t>
            </w:r>
          </w:p>
        </w:tc>
        <w:tc>
          <w:tcPr>
            <w:tcW w:w="6095" w:type="dxa"/>
            <w:gridSpan w:val="3"/>
            <w:vAlign w:val="center"/>
          </w:tcPr>
          <w:p>
            <w:pPr>
              <w:pStyle w:val="12"/>
            </w:pPr>
            <w:r>
              <w:t>机关服务专项经费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39.30</w:t>
            </w:r>
          </w:p>
        </w:tc>
        <w:tc>
          <w:tcPr>
            <w:tcW w:w="2835" w:type="dxa"/>
            <w:vAlign w:val="center"/>
          </w:tcPr>
          <w:p>
            <w:pPr>
              <w:pStyle w:val="10"/>
            </w:pPr>
            <w:r>
              <w:t>其中：财政    资金</w:t>
            </w:r>
          </w:p>
        </w:tc>
        <w:tc>
          <w:tcPr>
            <w:tcW w:w="2551" w:type="dxa"/>
            <w:vAlign w:val="center"/>
          </w:tcPr>
          <w:p>
            <w:pPr>
              <w:pStyle w:val="12"/>
            </w:pPr>
            <w:r>
              <w:t>39.30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用于保安、保洁、门卫、维修、后勤服务等支出。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1.优化工作环境，提高服务质量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服务保障支出项</w:t>
            </w:r>
          </w:p>
        </w:tc>
        <w:tc>
          <w:tcPr>
            <w:tcW w:w="5386" w:type="dxa"/>
            <w:vAlign w:val="center"/>
          </w:tcPr>
          <w:p>
            <w:pPr>
              <w:pStyle w:val="12"/>
            </w:pPr>
            <w:r>
              <w:t>服务保障支出项</w:t>
            </w:r>
          </w:p>
        </w:tc>
        <w:tc>
          <w:tcPr>
            <w:tcW w:w="2268" w:type="dxa"/>
            <w:vAlign w:val="center"/>
          </w:tcPr>
          <w:p>
            <w:pPr>
              <w:pStyle w:val="12"/>
            </w:pPr>
            <w:r>
              <w:t>5项</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服务保障率</w:t>
            </w:r>
          </w:p>
        </w:tc>
        <w:tc>
          <w:tcPr>
            <w:tcW w:w="5386" w:type="dxa"/>
            <w:vAlign w:val="center"/>
          </w:tcPr>
          <w:p>
            <w:pPr>
              <w:pStyle w:val="12"/>
            </w:pPr>
            <w:r>
              <w:t>服务保障率</w:t>
            </w:r>
          </w:p>
        </w:tc>
        <w:tc>
          <w:tcPr>
            <w:tcW w:w="2268" w:type="dxa"/>
            <w:vAlign w:val="center"/>
          </w:tcPr>
          <w:p>
            <w:pPr>
              <w:pStyle w:val="12"/>
            </w:pPr>
            <w:r>
              <w:t>≥95%</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后勤人员服务及时率</w:t>
            </w:r>
          </w:p>
        </w:tc>
        <w:tc>
          <w:tcPr>
            <w:tcW w:w="2268" w:type="dxa"/>
            <w:vAlign w:val="center"/>
          </w:tcPr>
          <w:p>
            <w:pPr>
              <w:pStyle w:val="12"/>
            </w:pPr>
            <w:r>
              <w:t>≥95%</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全年支付服务人员工资额</w:t>
            </w:r>
          </w:p>
        </w:tc>
        <w:tc>
          <w:tcPr>
            <w:tcW w:w="5386" w:type="dxa"/>
            <w:vAlign w:val="center"/>
          </w:tcPr>
          <w:p>
            <w:pPr>
              <w:pStyle w:val="12"/>
            </w:pPr>
            <w:r>
              <w:t>全年支付服务人员工资额</w:t>
            </w:r>
          </w:p>
        </w:tc>
        <w:tc>
          <w:tcPr>
            <w:tcW w:w="2268" w:type="dxa"/>
            <w:vAlign w:val="center"/>
          </w:tcPr>
          <w:p>
            <w:pPr>
              <w:pStyle w:val="12"/>
            </w:pPr>
            <w:r>
              <w:t>≤39.3万元</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≥95增强</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≥95提升</w:t>
            </w:r>
          </w:p>
        </w:tc>
        <w:tc>
          <w:tcPr>
            <w:tcW w:w="1276" w:type="dxa"/>
            <w:vAlign w:val="center"/>
          </w:tcPr>
          <w:p>
            <w:pPr>
              <w:pStyle w:val="12"/>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职工对服务的满意度</w:t>
            </w:r>
          </w:p>
        </w:tc>
        <w:tc>
          <w:tcPr>
            <w:tcW w:w="5386" w:type="dxa"/>
            <w:vAlign w:val="center"/>
          </w:tcPr>
          <w:p>
            <w:pPr>
              <w:pStyle w:val="12"/>
            </w:pPr>
            <w:r>
              <w:t>职工对服务的满意度</w:t>
            </w:r>
          </w:p>
        </w:tc>
        <w:tc>
          <w:tcPr>
            <w:tcW w:w="2268" w:type="dxa"/>
            <w:vAlign w:val="center"/>
          </w:tcPr>
          <w:p>
            <w:pPr>
              <w:pStyle w:val="12"/>
            </w:pPr>
            <w:r>
              <w:t>≥95%</w:t>
            </w:r>
          </w:p>
        </w:tc>
        <w:tc>
          <w:tcPr>
            <w:tcW w:w="1276" w:type="dxa"/>
            <w:vAlign w:val="center"/>
          </w:tcPr>
          <w:p>
            <w:pPr>
              <w:pStyle w:val="12"/>
            </w:pPr>
            <w:r>
              <w:t>局党组会议纪要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9、评估及国有企业审计业务费绩效目标表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13011025P00151210004W</w:t>
            </w:r>
          </w:p>
        </w:tc>
        <w:tc>
          <w:tcPr>
            <w:tcW w:w="2835" w:type="dxa"/>
            <w:vAlign w:val="center"/>
          </w:tcPr>
          <w:p>
            <w:pPr>
              <w:pStyle w:val="10"/>
            </w:pPr>
            <w:r>
              <w:t>项目名称</w:t>
            </w:r>
          </w:p>
        </w:tc>
        <w:tc>
          <w:tcPr>
            <w:tcW w:w="6095" w:type="dxa"/>
            <w:gridSpan w:val="3"/>
            <w:vAlign w:val="center"/>
          </w:tcPr>
          <w:p>
            <w:pPr>
              <w:pStyle w:val="12"/>
            </w:pPr>
            <w:r>
              <w:t>评估及国有企业审计业务费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用于全区涉及财政资金收支的评估业务费及对国有企业的审计等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1.委托第三方按实际需求做好所有涉及评估业务的评估工作和国有企业的审计工作，进一步提高财政资金使用绩效及国有企业的监管。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评估及审计业务安排的数量</w:t>
            </w:r>
          </w:p>
        </w:tc>
        <w:tc>
          <w:tcPr>
            <w:tcW w:w="5386" w:type="dxa"/>
            <w:vAlign w:val="center"/>
          </w:tcPr>
          <w:p>
            <w:pPr>
              <w:pStyle w:val="12"/>
            </w:pPr>
            <w:r>
              <w:t>根据需要开展评估及审计业务的数量</w:t>
            </w:r>
          </w:p>
        </w:tc>
        <w:tc>
          <w:tcPr>
            <w:tcW w:w="2268" w:type="dxa"/>
            <w:vAlign w:val="center"/>
          </w:tcPr>
          <w:p>
            <w:pPr>
              <w:pStyle w:val="12"/>
            </w:pPr>
            <w:r>
              <w:t>按照实际需求</w:t>
            </w:r>
          </w:p>
        </w:tc>
        <w:tc>
          <w:tcPr>
            <w:tcW w:w="1276" w:type="dxa"/>
            <w:vAlign w:val="center"/>
          </w:tcPr>
          <w:p>
            <w:pPr>
              <w:pStyle w:val="12"/>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评估及审计业务完成率</w:t>
            </w:r>
          </w:p>
        </w:tc>
        <w:tc>
          <w:tcPr>
            <w:tcW w:w="5386" w:type="dxa"/>
            <w:vAlign w:val="center"/>
          </w:tcPr>
          <w:p>
            <w:pPr>
              <w:pStyle w:val="12"/>
            </w:pPr>
            <w:r>
              <w:t>实际完成的工作占计划工作的比例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评估及审计业务完成时效</w:t>
            </w:r>
          </w:p>
        </w:tc>
        <w:tc>
          <w:tcPr>
            <w:tcW w:w="5386" w:type="dxa"/>
            <w:vAlign w:val="center"/>
          </w:tcPr>
          <w:p>
            <w:pPr>
              <w:pStyle w:val="12"/>
            </w:pPr>
            <w:r>
              <w:t>按时完成的工作数量占总工作数量的比例</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评估及审计业务成本</w:t>
            </w:r>
          </w:p>
        </w:tc>
        <w:tc>
          <w:tcPr>
            <w:tcW w:w="5386" w:type="dxa"/>
            <w:vAlign w:val="center"/>
          </w:tcPr>
          <w:p>
            <w:pPr>
              <w:pStyle w:val="12"/>
            </w:pPr>
            <w:r>
              <w:t>评估及审计业务单位成本</w:t>
            </w:r>
          </w:p>
        </w:tc>
        <w:tc>
          <w:tcPr>
            <w:tcW w:w="2268" w:type="dxa"/>
            <w:vAlign w:val="center"/>
          </w:tcPr>
          <w:p>
            <w:pPr>
              <w:pStyle w:val="12"/>
            </w:pPr>
            <w:r>
              <w:t>按照议价，不超预算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评估及审计结果应用率</w:t>
            </w:r>
          </w:p>
        </w:tc>
        <w:tc>
          <w:tcPr>
            <w:tcW w:w="5386" w:type="dxa"/>
            <w:vAlign w:val="center"/>
          </w:tcPr>
          <w:p>
            <w:pPr>
              <w:pStyle w:val="12"/>
            </w:pPr>
            <w:r>
              <w:t>评估及审计结果应用的程度</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促进资产评估事业健康发展的时效性</w:t>
            </w:r>
          </w:p>
        </w:tc>
        <w:tc>
          <w:tcPr>
            <w:tcW w:w="5386" w:type="dxa"/>
            <w:vAlign w:val="center"/>
          </w:tcPr>
          <w:p>
            <w:pPr>
              <w:pStyle w:val="12"/>
            </w:pPr>
            <w:r>
              <w:t>促进资产评估事业健康发展时效性</w:t>
            </w:r>
          </w:p>
        </w:tc>
        <w:tc>
          <w:tcPr>
            <w:tcW w:w="2268" w:type="dxa"/>
            <w:vAlign w:val="center"/>
          </w:tcPr>
          <w:p>
            <w:pPr>
              <w:pStyle w:val="12"/>
            </w:pPr>
            <w:r>
              <w:t>长期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促进国有企业监管</w:t>
            </w:r>
          </w:p>
        </w:tc>
        <w:tc>
          <w:tcPr>
            <w:tcW w:w="5386" w:type="dxa"/>
            <w:vAlign w:val="center"/>
          </w:tcPr>
          <w:p>
            <w:pPr>
              <w:pStyle w:val="12"/>
            </w:pPr>
            <w:r>
              <w:t>促进国有企业监管</w:t>
            </w:r>
          </w:p>
          <w:p>
            <w:pPr>
              <w:pStyle w:val="12"/>
            </w:pPr>
          </w:p>
        </w:tc>
        <w:tc>
          <w:tcPr>
            <w:tcW w:w="2268" w:type="dxa"/>
            <w:vAlign w:val="center"/>
          </w:tcPr>
          <w:p>
            <w:pPr>
              <w:pStyle w:val="12"/>
            </w:pPr>
            <w:r>
              <w:t xml:space="preserve">长期 </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评估及审计对象对评估及审计结果的满意程度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10、税收专项服务项目绩效目标表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13011025P00151210005G</w:t>
            </w:r>
          </w:p>
        </w:tc>
        <w:tc>
          <w:tcPr>
            <w:tcW w:w="2835" w:type="dxa"/>
            <w:vAlign w:val="center"/>
          </w:tcPr>
          <w:p>
            <w:pPr>
              <w:pStyle w:val="10"/>
            </w:pPr>
            <w:r>
              <w:t>项目名称</w:t>
            </w:r>
          </w:p>
        </w:tc>
        <w:tc>
          <w:tcPr>
            <w:tcW w:w="6095" w:type="dxa"/>
            <w:gridSpan w:val="3"/>
            <w:vAlign w:val="center"/>
          </w:tcPr>
          <w:p>
            <w:pPr>
              <w:pStyle w:val="12"/>
            </w:pPr>
            <w:r>
              <w:t>税收专项服务项目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用于委托第三方进行土增税清算及财源跟踪评价评估费。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1.委托第三方进行土地增值税清算和新增财源跟踪评价，做好减税降费宣传工作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清算税收评估税源的企业数量</w:t>
            </w:r>
          </w:p>
        </w:tc>
        <w:tc>
          <w:tcPr>
            <w:tcW w:w="5386" w:type="dxa"/>
            <w:vAlign w:val="center"/>
          </w:tcPr>
          <w:p>
            <w:pPr>
              <w:pStyle w:val="12"/>
            </w:pPr>
            <w:r>
              <w:t>清算税收评估税源的企业数量</w:t>
            </w:r>
          </w:p>
        </w:tc>
        <w:tc>
          <w:tcPr>
            <w:tcW w:w="2268" w:type="dxa"/>
            <w:vAlign w:val="center"/>
          </w:tcPr>
          <w:p>
            <w:pPr>
              <w:pStyle w:val="12"/>
            </w:pPr>
            <w:r>
              <w:t>按照实际需求</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清算评估工作成本</w:t>
            </w:r>
          </w:p>
        </w:tc>
        <w:tc>
          <w:tcPr>
            <w:tcW w:w="5386" w:type="dxa"/>
            <w:vAlign w:val="center"/>
          </w:tcPr>
          <w:p>
            <w:pPr>
              <w:pStyle w:val="12"/>
            </w:pPr>
            <w:r>
              <w:t>清算评估工作成本</w:t>
            </w:r>
          </w:p>
        </w:tc>
        <w:tc>
          <w:tcPr>
            <w:tcW w:w="2268" w:type="dxa"/>
            <w:vAlign w:val="center"/>
          </w:tcPr>
          <w:p>
            <w:pPr>
              <w:pStyle w:val="12"/>
            </w:pPr>
            <w:r>
              <w:t>按照实际工作</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清算评估工作完成率</w:t>
            </w:r>
          </w:p>
        </w:tc>
        <w:tc>
          <w:tcPr>
            <w:tcW w:w="5386" w:type="dxa"/>
            <w:vAlign w:val="center"/>
          </w:tcPr>
          <w:p>
            <w:pPr>
              <w:pStyle w:val="12"/>
            </w:pPr>
            <w:r>
              <w:t>实际完成的项目占计划的比例</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清算评估工作按时完成率</w:t>
            </w:r>
          </w:p>
        </w:tc>
        <w:tc>
          <w:tcPr>
            <w:tcW w:w="5386" w:type="dxa"/>
            <w:vAlign w:val="center"/>
          </w:tcPr>
          <w:p>
            <w:pPr>
              <w:pStyle w:val="12"/>
            </w:pPr>
            <w:r>
              <w:t>按时完成的项目数量占总数量的比例</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促进经济增长</w:t>
            </w:r>
          </w:p>
        </w:tc>
        <w:tc>
          <w:tcPr>
            <w:tcW w:w="5386" w:type="dxa"/>
            <w:vAlign w:val="center"/>
          </w:tcPr>
          <w:p>
            <w:pPr>
              <w:pStyle w:val="12"/>
            </w:pPr>
            <w:r>
              <w:t>促进经济增长</w:t>
            </w:r>
          </w:p>
        </w:tc>
        <w:tc>
          <w:tcPr>
            <w:tcW w:w="2268" w:type="dxa"/>
            <w:vAlign w:val="center"/>
          </w:tcPr>
          <w:p>
            <w:pPr>
              <w:pStyle w:val="12"/>
            </w:pPr>
            <w:r>
              <w:t>≥1500万元</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增加财政收入质量</w:t>
            </w:r>
          </w:p>
        </w:tc>
        <w:tc>
          <w:tcPr>
            <w:tcW w:w="5386" w:type="dxa"/>
            <w:vAlign w:val="center"/>
          </w:tcPr>
          <w:p>
            <w:pPr>
              <w:pStyle w:val="12"/>
            </w:pPr>
            <w:r>
              <w:t>增加财政收入质量</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石综税办[2019]1号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11、提前下达2025年省级农村财会人员培训资金绩效目标表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13011025P000028100012</w:t>
            </w:r>
          </w:p>
        </w:tc>
        <w:tc>
          <w:tcPr>
            <w:tcW w:w="2835" w:type="dxa"/>
            <w:vAlign w:val="center"/>
          </w:tcPr>
          <w:p>
            <w:pPr>
              <w:pStyle w:val="10"/>
            </w:pPr>
            <w:r>
              <w:t>项目名称</w:t>
            </w:r>
          </w:p>
        </w:tc>
        <w:tc>
          <w:tcPr>
            <w:tcW w:w="6095" w:type="dxa"/>
            <w:gridSpan w:val="3"/>
            <w:vAlign w:val="center"/>
          </w:tcPr>
          <w:p>
            <w:pPr>
              <w:pStyle w:val="12"/>
            </w:pPr>
            <w:r>
              <w:t>提前下达2025年省级农村财会人员培训资金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用于做好农村财会人员财政支农政策培训工作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1.做好农村财会人员支农政策培训工作，提高农村财会人员政策水平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5386" w:type="dxa"/>
            <w:vAlign w:val="center"/>
          </w:tcPr>
          <w:p>
            <w:pPr>
              <w:pStyle w:val="12"/>
            </w:pPr>
            <w:r>
              <w:t>参加农村财会人员培训的人数</w:t>
            </w:r>
          </w:p>
        </w:tc>
        <w:tc>
          <w:tcPr>
            <w:tcW w:w="2268" w:type="dxa"/>
            <w:vAlign w:val="center"/>
          </w:tcPr>
          <w:p>
            <w:pPr>
              <w:pStyle w:val="12"/>
            </w:pPr>
            <w:r>
              <w:t>≥800人</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参加农村财会人员培训合格的人数占总财会人员的比率</w:t>
            </w:r>
          </w:p>
        </w:tc>
        <w:tc>
          <w:tcPr>
            <w:tcW w:w="2268" w:type="dxa"/>
            <w:vAlign w:val="center"/>
          </w:tcPr>
          <w:p>
            <w:pPr>
              <w:pStyle w:val="12"/>
            </w:pPr>
            <w:r>
              <w:t>100%</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培训任务完成率</w:t>
            </w:r>
          </w:p>
        </w:tc>
        <w:tc>
          <w:tcPr>
            <w:tcW w:w="5386" w:type="dxa"/>
            <w:vAlign w:val="center"/>
          </w:tcPr>
          <w:p>
            <w:pPr>
              <w:pStyle w:val="12"/>
            </w:pPr>
            <w:r>
              <w:t>培训任务完成率</w:t>
            </w:r>
          </w:p>
        </w:tc>
        <w:tc>
          <w:tcPr>
            <w:tcW w:w="2268" w:type="dxa"/>
            <w:vAlign w:val="center"/>
          </w:tcPr>
          <w:p>
            <w:pPr>
              <w:pStyle w:val="12"/>
            </w:pPr>
            <w:r>
              <w:t>100%</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≤80元</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农村财会人员培训率</w:t>
            </w:r>
          </w:p>
        </w:tc>
        <w:tc>
          <w:tcPr>
            <w:tcW w:w="5386" w:type="dxa"/>
            <w:vAlign w:val="center"/>
          </w:tcPr>
          <w:p>
            <w:pPr>
              <w:pStyle w:val="12"/>
            </w:pPr>
            <w:r>
              <w:t>参加农村财会人员培训的人数占总财会人员的比率</w:t>
            </w:r>
          </w:p>
        </w:tc>
        <w:tc>
          <w:tcPr>
            <w:tcW w:w="2268" w:type="dxa"/>
            <w:vAlign w:val="center"/>
          </w:tcPr>
          <w:p>
            <w:pPr>
              <w:pStyle w:val="12"/>
            </w:pPr>
            <w:r>
              <w:t>≥95%</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5386" w:type="dxa"/>
            <w:vAlign w:val="center"/>
          </w:tcPr>
          <w:p>
            <w:pPr>
              <w:pStyle w:val="12"/>
            </w:pPr>
            <w:r>
              <w:t>提高农村财会人员政策水平</w:t>
            </w:r>
          </w:p>
        </w:tc>
        <w:tc>
          <w:tcPr>
            <w:tcW w:w="2268" w:type="dxa"/>
            <w:vAlign w:val="center"/>
          </w:tcPr>
          <w:p>
            <w:pPr>
              <w:pStyle w:val="12"/>
            </w:pPr>
            <w:r>
              <w:t>明显提高</w:t>
            </w:r>
          </w:p>
        </w:tc>
        <w:tc>
          <w:tcPr>
            <w:tcW w:w="1276" w:type="dxa"/>
            <w:vAlign w:val="center"/>
          </w:tcPr>
          <w:p>
            <w:pPr>
              <w:pStyle w:val="12"/>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5386" w:type="dxa"/>
            <w:vAlign w:val="center"/>
          </w:tcPr>
          <w:p>
            <w:pPr>
              <w:pStyle w:val="12"/>
            </w:pPr>
            <w:r>
              <w:t>参加农村财会人员培训的满意度</w:t>
            </w:r>
          </w:p>
        </w:tc>
        <w:tc>
          <w:tcPr>
            <w:tcW w:w="2268" w:type="dxa"/>
            <w:vAlign w:val="center"/>
          </w:tcPr>
          <w:p>
            <w:pPr>
              <w:pStyle w:val="12"/>
            </w:pPr>
            <w:r>
              <w:t>100%</w:t>
            </w:r>
          </w:p>
        </w:tc>
        <w:tc>
          <w:tcPr>
            <w:tcW w:w="1276" w:type="dxa"/>
            <w:vAlign w:val="center"/>
          </w:tcPr>
          <w:p>
            <w:pPr>
              <w:pStyle w:val="12"/>
            </w:pPr>
            <w:r>
              <w:t>石财农【2024】65号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12、网络运行维护、服务费绩效目标表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13011025P00150510002F</w:t>
            </w:r>
          </w:p>
        </w:tc>
        <w:tc>
          <w:tcPr>
            <w:tcW w:w="2835" w:type="dxa"/>
            <w:vAlign w:val="center"/>
          </w:tcPr>
          <w:p>
            <w:pPr>
              <w:pStyle w:val="10"/>
            </w:pPr>
            <w:r>
              <w:t>项目名称</w:t>
            </w:r>
          </w:p>
        </w:tc>
        <w:tc>
          <w:tcPr>
            <w:tcW w:w="6095" w:type="dxa"/>
            <w:gridSpan w:val="3"/>
            <w:vAlign w:val="center"/>
          </w:tcPr>
          <w:p>
            <w:pPr>
              <w:pStyle w:val="12"/>
            </w:pPr>
            <w:r>
              <w:t>网络运行维护、服务费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w:t>
            </w:r>
          </w:p>
        </w:tc>
        <w:tc>
          <w:tcPr>
            <w:tcW w:w="2835" w:type="dxa"/>
            <w:vAlign w:val="center"/>
          </w:tcPr>
          <w:p>
            <w:pPr>
              <w:pStyle w:val="10"/>
            </w:pPr>
            <w:r>
              <w:t>其中：财政    资金</w:t>
            </w:r>
          </w:p>
        </w:tc>
        <w:tc>
          <w:tcPr>
            <w:tcW w:w="2551" w:type="dxa"/>
            <w:vAlign w:val="center"/>
          </w:tcPr>
          <w:p>
            <w:pPr>
              <w:pStyle w:val="12"/>
            </w:pPr>
            <w:r>
              <w:t>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用于支付财政互联网租赁费、网络系统运行维护及服务费等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1.确保网络传输正常，实时监控内部网络运转，不断优化系统架构提升部署效率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5386" w:type="dxa"/>
            <w:vAlign w:val="center"/>
          </w:tcPr>
          <w:p>
            <w:pPr>
              <w:pStyle w:val="12"/>
            </w:pPr>
            <w:r>
              <w:t>网络在单位的覆盖比例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网络正常使用的比例</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网络运行维护时间及时率</w:t>
            </w:r>
          </w:p>
        </w:tc>
        <w:tc>
          <w:tcPr>
            <w:tcW w:w="5386" w:type="dxa"/>
            <w:vAlign w:val="center"/>
          </w:tcPr>
          <w:p>
            <w:pPr>
              <w:pStyle w:val="12"/>
            </w:pPr>
            <w:r>
              <w:t>网络运行维护需要的时间</w:t>
            </w:r>
          </w:p>
        </w:tc>
        <w:tc>
          <w:tcPr>
            <w:tcW w:w="2268" w:type="dxa"/>
            <w:vAlign w:val="center"/>
          </w:tcPr>
          <w:p>
            <w:pPr>
              <w:pStyle w:val="12"/>
            </w:pPr>
            <w:r>
              <w:t>≥90%</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网络运行维护资金完成率</w:t>
            </w:r>
          </w:p>
        </w:tc>
        <w:tc>
          <w:tcPr>
            <w:tcW w:w="5386" w:type="dxa"/>
            <w:vAlign w:val="center"/>
          </w:tcPr>
          <w:p>
            <w:pPr>
              <w:pStyle w:val="12"/>
            </w:pPr>
            <w:r>
              <w:t>网络运行维护使用的比例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网络的安全保证，提高工作效率</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办公软件的使用比例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对网络使用的满意度</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13、预算绩效管理业务费绩效目标表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13011025P00007110001E</w:t>
            </w:r>
          </w:p>
        </w:tc>
        <w:tc>
          <w:tcPr>
            <w:tcW w:w="2835" w:type="dxa"/>
            <w:vAlign w:val="center"/>
          </w:tcPr>
          <w:p>
            <w:pPr>
              <w:pStyle w:val="10"/>
            </w:pPr>
            <w:r>
              <w:t>项目名称</w:t>
            </w:r>
          </w:p>
        </w:tc>
        <w:tc>
          <w:tcPr>
            <w:tcW w:w="6095" w:type="dxa"/>
            <w:gridSpan w:val="3"/>
            <w:vAlign w:val="center"/>
          </w:tcPr>
          <w:p>
            <w:pPr>
              <w:pStyle w:val="12"/>
            </w:pPr>
            <w:r>
              <w:t>预算绩效管理业务费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用于委托第三方预算项目重点绩效评价费。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1.通过委托第三方开展至少5个预算项目的绩效重点评价，提高财政资金使用效率，提升预算绩效管理水平。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绩效评价报告数量</w:t>
            </w:r>
          </w:p>
        </w:tc>
        <w:tc>
          <w:tcPr>
            <w:tcW w:w="5386" w:type="dxa"/>
            <w:vAlign w:val="center"/>
          </w:tcPr>
          <w:p>
            <w:pPr>
              <w:pStyle w:val="12"/>
            </w:pPr>
            <w:r>
              <w:t>绩效评价报告数量</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绩效评价工作完时间</w:t>
            </w:r>
          </w:p>
        </w:tc>
        <w:tc>
          <w:tcPr>
            <w:tcW w:w="5386" w:type="dxa"/>
            <w:vAlign w:val="center"/>
          </w:tcPr>
          <w:p>
            <w:pPr>
              <w:pStyle w:val="12"/>
            </w:pPr>
            <w:r>
              <w:t>计划完成时间</w:t>
            </w:r>
          </w:p>
        </w:tc>
        <w:tc>
          <w:tcPr>
            <w:tcW w:w="2268" w:type="dxa"/>
            <w:vAlign w:val="center"/>
          </w:tcPr>
          <w:p>
            <w:pPr>
              <w:pStyle w:val="12"/>
            </w:pPr>
            <w:r>
              <w:t>2025年底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绩效评价工作完成率</w:t>
            </w:r>
          </w:p>
        </w:tc>
        <w:tc>
          <w:tcPr>
            <w:tcW w:w="5386" w:type="dxa"/>
            <w:vAlign w:val="center"/>
          </w:tcPr>
          <w:p>
            <w:pPr>
              <w:pStyle w:val="12"/>
            </w:pPr>
            <w:r>
              <w:t>实际完成的工作占计划工作的比例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绩效评价成本</w:t>
            </w:r>
          </w:p>
        </w:tc>
        <w:tc>
          <w:tcPr>
            <w:tcW w:w="5386" w:type="dxa"/>
            <w:vAlign w:val="center"/>
          </w:tcPr>
          <w:p>
            <w:pPr>
              <w:pStyle w:val="12"/>
            </w:pPr>
            <w:r>
              <w:t>财政投入水平</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问题整改落实率</w:t>
            </w:r>
          </w:p>
        </w:tc>
        <w:tc>
          <w:tcPr>
            <w:tcW w:w="5386" w:type="dxa"/>
            <w:vAlign w:val="center"/>
          </w:tcPr>
          <w:p>
            <w:pPr>
              <w:pStyle w:val="12"/>
            </w:pPr>
            <w:r>
              <w:t>反映发现问题后整改落实情况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预算绩效管理水平水平</w:t>
            </w:r>
          </w:p>
        </w:tc>
        <w:tc>
          <w:tcPr>
            <w:tcW w:w="5386" w:type="dxa"/>
            <w:vAlign w:val="center"/>
          </w:tcPr>
          <w:p>
            <w:pPr>
              <w:pStyle w:val="12"/>
            </w:pPr>
            <w:r>
              <w:t>反映预算绩效管理水平提高的程度</w:t>
            </w:r>
          </w:p>
        </w:tc>
        <w:tc>
          <w:tcPr>
            <w:tcW w:w="2268" w:type="dxa"/>
            <w:vAlign w:val="center"/>
          </w:tcPr>
          <w:p>
            <w:pPr>
              <w:pStyle w:val="12"/>
            </w:pPr>
            <w:r>
              <w:t>较以前年度显著提高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评价单位满意度</w:t>
            </w:r>
          </w:p>
        </w:tc>
        <w:tc>
          <w:tcPr>
            <w:tcW w:w="5386" w:type="dxa"/>
            <w:vAlign w:val="center"/>
          </w:tcPr>
          <w:p>
            <w:pPr>
              <w:pStyle w:val="12"/>
            </w:pPr>
            <w:r>
              <w:t>评价单位满意度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14、政府财务报告及内控制度编制委托业务费绩效目标表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13011025P001512100064</w:t>
            </w:r>
          </w:p>
        </w:tc>
        <w:tc>
          <w:tcPr>
            <w:tcW w:w="2835" w:type="dxa"/>
            <w:vAlign w:val="center"/>
          </w:tcPr>
          <w:p>
            <w:pPr>
              <w:pStyle w:val="10"/>
            </w:pPr>
            <w:r>
              <w:t>项目名称</w:t>
            </w:r>
          </w:p>
        </w:tc>
        <w:tc>
          <w:tcPr>
            <w:tcW w:w="6095" w:type="dxa"/>
            <w:gridSpan w:val="3"/>
            <w:vAlign w:val="center"/>
          </w:tcPr>
          <w:p>
            <w:pPr>
              <w:pStyle w:val="12"/>
            </w:pPr>
            <w:r>
              <w:t>政府财务报告及内控制度编制委托业务费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用于财务报告及内控制度等业务的委托代理费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1.提高我区各预算部门及政府财务报告编制的准确性、完整性和规范性，合理保证政府财务报告的可靠性，保证单位经济活动的合法合规。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政府报告及内控制度数量完成率</w:t>
            </w:r>
          </w:p>
        </w:tc>
        <w:tc>
          <w:tcPr>
            <w:tcW w:w="5386" w:type="dxa"/>
            <w:vAlign w:val="center"/>
          </w:tcPr>
          <w:p>
            <w:pPr>
              <w:pStyle w:val="12"/>
            </w:pPr>
            <w:r>
              <w:t>按预定数量完成的比例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政府报告优良率</w:t>
            </w:r>
          </w:p>
        </w:tc>
        <w:tc>
          <w:tcPr>
            <w:tcW w:w="5386" w:type="dxa"/>
            <w:vAlign w:val="center"/>
          </w:tcPr>
          <w:p>
            <w:pPr>
              <w:pStyle w:val="12"/>
            </w:pPr>
            <w:r>
              <w:t>省厅鉴定财务报告审核通过数量占总数量的比例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政府报告及内控制度完成及时率</w:t>
            </w:r>
          </w:p>
        </w:tc>
        <w:tc>
          <w:tcPr>
            <w:tcW w:w="5386" w:type="dxa"/>
            <w:vAlign w:val="center"/>
          </w:tcPr>
          <w:p>
            <w:pPr>
              <w:pStyle w:val="12"/>
            </w:pPr>
            <w:r>
              <w:t>按预定进度完成的比例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编制成本</w:t>
            </w:r>
          </w:p>
        </w:tc>
        <w:tc>
          <w:tcPr>
            <w:tcW w:w="5386" w:type="dxa"/>
            <w:vAlign w:val="center"/>
          </w:tcPr>
          <w:p>
            <w:pPr>
              <w:pStyle w:val="12"/>
            </w:pPr>
            <w:r>
              <w:t>财务报告及内控制度编制所需成本</w:t>
            </w:r>
          </w:p>
        </w:tc>
        <w:tc>
          <w:tcPr>
            <w:tcW w:w="2268" w:type="dxa"/>
            <w:vAlign w:val="center"/>
          </w:tcPr>
          <w:p>
            <w:pPr>
              <w:pStyle w:val="12"/>
            </w:pPr>
            <w:r>
              <w:t>≤5万元</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政府财务报告完成率</w:t>
            </w:r>
          </w:p>
        </w:tc>
        <w:tc>
          <w:tcPr>
            <w:tcW w:w="5386" w:type="dxa"/>
            <w:vAlign w:val="center"/>
          </w:tcPr>
          <w:p>
            <w:pPr>
              <w:pStyle w:val="12"/>
            </w:pPr>
            <w:r>
              <w:t>财务报告完成数量占总数量的比例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政府财务报告及内控制度落实率</w:t>
            </w:r>
          </w:p>
        </w:tc>
        <w:tc>
          <w:tcPr>
            <w:tcW w:w="5386" w:type="dxa"/>
            <w:vAlign w:val="center"/>
          </w:tcPr>
          <w:p>
            <w:pPr>
              <w:pStyle w:val="12"/>
            </w:pPr>
            <w:r>
              <w:t>政府财务报告及内控制度落实的情况，实施对本单位带来的可持续影响</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提高资金使用的有效率</w:t>
            </w:r>
          </w:p>
        </w:tc>
        <w:tc>
          <w:tcPr>
            <w:tcW w:w="5386" w:type="dxa"/>
            <w:vAlign w:val="center"/>
          </w:tcPr>
          <w:p>
            <w:pPr>
              <w:pStyle w:val="12"/>
            </w:pPr>
            <w:r>
              <w:t>成本节约</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对编制的财务报告质量方面的满意度</w:t>
            </w:r>
          </w:p>
        </w:tc>
        <w:tc>
          <w:tcPr>
            <w:tcW w:w="2268" w:type="dxa"/>
            <w:vAlign w:val="center"/>
          </w:tcPr>
          <w:p>
            <w:pPr>
              <w:pStyle w:val="12"/>
            </w:pPr>
            <w:r>
              <w:t>≥95%</w:t>
            </w:r>
          </w:p>
        </w:tc>
        <w:tc>
          <w:tcPr>
            <w:tcW w:w="1276" w:type="dxa"/>
            <w:vAlign w:val="center"/>
          </w:tcPr>
          <w:p>
            <w:pPr>
              <w:pStyle w:val="12"/>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15、政府购买投资评审服务项目绩效目标表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13011025P00002710001C</w:t>
            </w:r>
          </w:p>
        </w:tc>
        <w:tc>
          <w:tcPr>
            <w:tcW w:w="2835" w:type="dxa"/>
            <w:vAlign w:val="center"/>
          </w:tcPr>
          <w:p>
            <w:pPr>
              <w:pStyle w:val="10"/>
            </w:pPr>
            <w:r>
              <w:t>项目名称</w:t>
            </w:r>
          </w:p>
        </w:tc>
        <w:tc>
          <w:tcPr>
            <w:tcW w:w="6095" w:type="dxa"/>
            <w:gridSpan w:val="3"/>
            <w:vAlign w:val="center"/>
          </w:tcPr>
          <w:p>
            <w:pPr>
              <w:pStyle w:val="12"/>
            </w:pPr>
            <w:r>
              <w:t>政府购买投资评审服务项目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用于评审预、结算，财政聘请第三方机构评审费，评审软件维护、设备购置等。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1.按送审项目数量，及时完成评审任务，节约财政资金，避免经济损失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送审项目完成率</w:t>
            </w:r>
          </w:p>
        </w:tc>
        <w:tc>
          <w:tcPr>
            <w:tcW w:w="5386" w:type="dxa"/>
            <w:vAlign w:val="center"/>
          </w:tcPr>
          <w:p>
            <w:pPr>
              <w:pStyle w:val="12"/>
            </w:pPr>
            <w:r>
              <w:t>出具报告占报送比例</w:t>
            </w:r>
          </w:p>
        </w:tc>
        <w:tc>
          <w:tcPr>
            <w:tcW w:w="2268" w:type="dxa"/>
            <w:vAlign w:val="center"/>
          </w:tcPr>
          <w:p>
            <w:pPr>
              <w:pStyle w:val="12"/>
            </w:pPr>
            <w:r>
              <w:t>≥95%</w:t>
            </w:r>
          </w:p>
        </w:tc>
        <w:tc>
          <w:tcPr>
            <w:tcW w:w="1276" w:type="dxa"/>
            <w:vAlign w:val="center"/>
          </w:tcPr>
          <w:p>
            <w:pPr>
              <w:pStyle w:val="12"/>
            </w:pPr>
            <w:r>
              <w:t>往年统计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评审项目数量</w:t>
            </w:r>
          </w:p>
        </w:tc>
        <w:tc>
          <w:tcPr>
            <w:tcW w:w="5386" w:type="dxa"/>
            <w:vAlign w:val="center"/>
          </w:tcPr>
          <w:p>
            <w:pPr>
              <w:pStyle w:val="12"/>
            </w:pPr>
            <w:r>
              <w:t>计划评审项目数量</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实际按时完成的工作数量占计划工作的比例</w:t>
            </w:r>
          </w:p>
        </w:tc>
        <w:tc>
          <w:tcPr>
            <w:tcW w:w="2268" w:type="dxa"/>
            <w:vAlign w:val="center"/>
          </w:tcPr>
          <w:p>
            <w:pPr>
              <w:pStyle w:val="12"/>
            </w:pPr>
            <w:r>
              <w:t>100%</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委托评审费用</w:t>
            </w:r>
          </w:p>
        </w:tc>
        <w:tc>
          <w:tcPr>
            <w:tcW w:w="5386" w:type="dxa"/>
            <w:vAlign w:val="center"/>
          </w:tcPr>
          <w:p>
            <w:pPr>
              <w:pStyle w:val="12"/>
            </w:pPr>
            <w:r>
              <w:t>聘请第三方机构评审费</w:t>
            </w:r>
          </w:p>
        </w:tc>
        <w:tc>
          <w:tcPr>
            <w:tcW w:w="2268" w:type="dxa"/>
            <w:vAlign w:val="center"/>
          </w:tcPr>
          <w:p>
            <w:pPr>
              <w:pStyle w:val="12"/>
            </w:pPr>
            <w:r>
              <w:t>≤200万元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节约金额比例</w:t>
            </w:r>
          </w:p>
        </w:tc>
        <w:tc>
          <w:tcPr>
            <w:tcW w:w="5386" w:type="dxa"/>
            <w:vAlign w:val="center"/>
          </w:tcPr>
          <w:p>
            <w:pPr>
              <w:pStyle w:val="12"/>
            </w:pPr>
            <w:r>
              <w:t>节约金额占送审金额比例</w:t>
            </w:r>
          </w:p>
        </w:tc>
        <w:tc>
          <w:tcPr>
            <w:tcW w:w="2268" w:type="dxa"/>
            <w:vAlign w:val="center"/>
          </w:tcPr>
          <w:p>
            <w:pPr>
              <w:pStyle w:val="12"/>
            </w:pPr>
            <w:r>
              <w:t>≥15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财政评审管理水平</w:t>
            </w:r>
          </w:p>
        </w:tc>
        <w:tc>
          <w:tcPr>
            <w:tcW w:w="5386" w:type="dxa"/>
            <w:vAlign w:val="center"/>
          </w:tcPr>
          <w:p>
            <w:pPr>
              <w:pStyle w:val="12"/>
            </w:pPr>
            <w:r>
              <w:t>反映财政评审管理水平提高的程度</w:t>
            </w:r>
          </w:p>
        </w:tc>
        <w:tc>
          <w:tcPr>
            <w:tcW w:w="2268" w:type="dxa"/>
            <w:vAlign w:val="center"/>
          </w:tcPr>
          <w:p>
            <w:pPr>
              <w:pStyle w:val="12"/>
            </w:pPr>
            <w:r>
              <w:t>较以前年度显著提高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131.43</w:t>
            </w:r>
          </w:p>
        </w:tc>
        <w:tc>
          <w:tcPr>
            <w:tcW w:w="964" w:type="dxa"/>
            <w:vAlign w:val="center"/>
          </w:tcPr>
          <w:p>
            <w:pPr>
              <w:pStyle w:val="15"/>
            </w:pPr>
            <w:r>
              <w:t>131.43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131.43</w:t>
            </w:r>
          </w:p>
        </w:tc>
        <w:tc>
          <w:tcPr>
            <w:tcW w:w="964" w:type="dxa"/>
            <w:vAlign w:val="center"/>
          </w:tcPr>
          <w:p>
            <w:pPr>
              <w:pStyle w:val="15"/>
            </w:pPr>
            <w:r>
              <w:t>131.43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204.71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0.59</w:t>
            </w:r>
          </w:p>
        </w:tc>
        <w:tc>
          <w:tcPr>
            <w:tcW w:w="964" w:type="dxa"/>
            <w:vAlign w:val="center"/>
          </w:tcPr>
          <w:p>
            <w:pPr>
              <w:pStyle w:val="11"/>
            </w:pPr>
            <w:r>
              <w:t>0.59</w:t>
            </w:r>
          </w:p>
        </w:tc>
        <w:tc>
          <w:tcPr>
            <w:tcW w:w="964" w:type="dxa"/>
            <w:vAlign w:val="center"/>
          </w:tcPr>
          <w:p>
            <w:pPr>
              <w:pStyle w:val="11"/>
            </w:pPr>
            <w:r>
              <w:t>0.59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204.71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4.20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204.71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保密信息安全建设费</w:t>
            </w:r>
          </w:p>
        </w:tc>
        <w:tc>
          <w:tcPr>
            <w:tcW w:w="964" w:type="dxa"/>
            <w:vAlign w:val="center"/>
          </w:tcPr>
          <w:p>
            <w:pPr>
              <w:pStyle w:val="11"/>
            </w:pPr>
            <w:r>
              <w:t>10.00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保密信息安全建设费</w:t>
            </w:r>
          </w:p>
        </w:tc>
        <w:tc>
          <w:tcPr>
            <w:tcW w:w="964" w:type="dxa"/>
            <w:vAlign w:val="center"/>
          </w:tcPr>
          <w:p>
            <w:pPr>
              <w:pStyle w:val="11"/>
            </w:pPr>
            <w:r>
              <w:t>10.00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110</w:t>
            </w:r>
          </w:p>
        </w:tc>
        <w:tc>
          <w:tcPr>
            <w:tcW w:w="850" w:type="dxa"/>
            <w:vAlign w:val="center"/>
          </w:tcPr>
          <w:p>
            <w:pPr>
              <w:pStyle w:val="11"/>
            </w:pPr>
            <w:r>
              <w:t>0.08</w:t>
            </w:r>
          </w:p>
        </w:tc>
        <w:tc>
          <w:tcPr>
            <w:tcW w:w="964" w:type="dxa"/>
            <w:vAlign w:val="center"/>
          </w:tcPr>
          <w:p>
            <w:pPr>
              <w:pStyle w:val="11"/>
            </w:pPr>
            <w:r>
              <w:t>8.80</w:t>
            </w:r>
          </w:p>
        </w:tc>
        <w:tc>
          <w:tcPr>
            <w:tcW w:w="964" w:type="dxa"/>
            <w:vAlign w:val="center"/>
          </w:tcPr>
          <w:p>
            <w:pPr>
              <w:pStyle w:val="11"/>
            </w:pPr>
            <w:r>
              <w:t>8.80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保密信息安全建设费</w:t>
            </w:r>
          </w:p>
        </w:tc>
        <w:tc>
          <w:tcPr>
            <w:tcW w:w="964" w:type="dxa"/>
            <w:vAlign w:val="center"/>
          </w:tcPr>
          <w:p>
            <w:pPr>
              <w:pStyle w:val="11"/>
            </w:pPr>
            <w:r>
              <w:t>10.00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7</w:t>
            </w:r>
          </w:p>
        </w:tc>
        <w:tc>
          <w:tcPr>
            <w:tcW w:w="850" w:type="dxa"/>
            <w:vAlign w:val="center"/>
          </w:tcPr>
          <w:p>
            <w:pPr>
              <w:pStyle w:val="11"/>
            </w:pPr>
            <w:r>
              <w:t>0.10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0.60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0.15</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0.04</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500</w:t>
            </w:r>
          </w:p>
        </w:tc>
        <w:tc>
          <w:tcPr>
            <w:tcW w:w="850" w:type="dxa"/>
            <w:vAlign w:val="center"/>
          </w:tcPr>
          <w:p>
            <w:pPr>
              <w:pStyle w:val="11"/>
            </w:pPr>
            <w:r>
              <w:t>0.02</w:t>
            </w:r>
          </w:p>
        </w:tc>
        <w:tc>
          <w:tcPr>
            <w:tcW w:w="964" w:type="dxa"/>
            <w:vAlign w:val="center"/>
          </w:tcPr>
          <w:p>
            <w:pPr>
              <w:pStyle w:val="11"/>
            </w:pPr>
            <w:r>
              <w:t>11.25</w:t>
            </w:r>
          </w:p>
        </w:tc>
        <w:tc>
          <w:tcPr>
            <w:tcW w:w="964" w:type="dxa"/>
            <w:vAlign w:val="center"/>
          </w:tcPr>
          <w:p>
            <w:pPr>
              <w:pStyle w:val="11"/>
            </w:pPr>
            <w:r>
              <w:t>11.25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财政改革业务费</w:t>
            </w:r>
          </w:p>
        </w:tc>
        <w:tc>
          <w:tcPr>
            <w:tcW w:w="964" w:type="dxa"/>
            <w:vAlign w:val="center"/>
          </w:tcPr>
          <w:p>
            <w:pPr>
              <w:pStyle w:val="11"/>
            </w:pPr>
            <w:r>
              <w:t>40.00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3.50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财政专网等级保护测评及整改</w:t>
            </w:r>
          </w:p>
        </w:tc>
        <w:tc>
          <w:tcPr>
            <w:tcW w:w="964" w:type="dxa"/>
            <w:vAlign w:val="center"/>
          </w:tcPr>
          <w:p>
            <w:pPr>
              <w:pStyle w:val="11"/>
            </w:pPr>
            <w:r>
              <w:t>10.00</w:t>
            </w:r>
          </w:p>
        </w:tc>
        <w:tc>
          <w:tcPr>
            <w:tcW w:w="1134" w:type="dxa"/>
            <w:vAlign w:val="center"/>
          </w:tcPr>
          <w:p>
            <w:pPr>
              <w:pStyle w:val="12"/>
            </w:pPr>
            <w:r>
              <w:t>其他信息安全设备</w:t>
            </w:r>
          </w:p>
        </w:tc>
        <w:tc>
          <w:tcPr>
            <w:tcW w:w="1134" w:type="dxa"/>
            <w:vAlign w:val="center"/>
          </w:tcPr>
          <w:p>
            <w:pPr>
              <w:pStyle w:val="12"/>
            </w:pPr>
            <w:r>
              <w:t>A02010399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财政专网等级保护测评及整改</w:t>
            </w:r>
          </w:p>
        </w:tc>
        <w:tc>
          <w:tcPr>
            <w:tcW w:w="964" w:type="dxa"/>
            <w:vAlign w:val="center"/>
          </w:tcPr>
          <w:p>
            <w:pPr>
              <w:pStyle w:val="11"/>
            </w:pPr>
            <w:r>
              <w:t>10.00</w:t>
            </w:r>
          </w:p>
        </w:tc>
        <w:tc>
          <w:tcPr>
            <w:tcW w:w="1134" w:type="dxa"/>
            <w:vAlign w:val="center"/>
          </w:tcPr>
          <w:p>
            <w:pPr>
              <w:pStyle w:val="12"/>
            </w:pPr>
            <w:r>
              <w:t>信息安全软件开发服务</w:t>
            </w:r>
          </w:p>
        </w:tc>
        <w:tc>
          <w:tcPr>
            <w:tcW w:w="1134" w:type="dxa"/>
            <w:vAlign w:val="center"/>
          </w:tcPr>
          <w:p>
            <w:pPr>
              <w:pStyle w:val="12"/>
            </w:pPr>
            <w:r>
              <w:t>C16010500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财政专网运行维护费</w:t>
            </w:r>
          </w:p>
        </w:tc>
        <w:tc>
          <w:tcPr>
            <w:tcW w:w="964" w:type="dxa"/>
            <w:vAlign w:val="center"/>
          </w:tcPr>
          <w:p>
            <w:pPr>
              <w:pStyle w:val="11"/>
            </w:pPr>
            <w:r>
              <w:t>29.64</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29.64</w:t>
            </w:r>
          </w:p>
        </w:tc>
        <w:tc>
          <w:tcPr>
            <w:tcW w:w="964" w:type="dxa"/>
            <w:vAlign w:val="center"/>
          </w:tcPr>
          <w:p>
            <w:pPr>
              <w:pStyle w:val="11"/>
            </w:pPr>
            <w:r>
              <w:t>29.64</w:t>
            </w:r>
          </w:p>
        </w:tc>
        <w:tc>
          <w:tcPr>
            <w:tcW w:w="964" w:type="dxa"/>
            <w:vAlign w:val="center"/>
          </w:tcPr>
          <w:p>
            <w:pPr>
              <w:pStyle w:val="11"/>
            </w:pPr>
            <w:r>
              <w:t>29.64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机关服务专项经费</w:t>
            </w:r>
          </w:p>
        </w:tc>
        <w:tc>
          <w:tcPr>
            <w:tcW w:w="964" w:type="dxa"/>
            <w:vAlign w:val="center"/>
          </w:tcPr>
          <w:p>
            <w:pPr>
              <w:pStyle w:val="11"/>
            </w:pPr>
            <w:r>
              <w:t>39.30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8.90</w:t>
            </w:r>
          </w:p>
        </w:tc>
        <w:tc>
          <w:tcPr>
            <w:tcW w:w="964" w:type="dxa"/>
            <w:vAlign w:val="center"/>
          </w:tcPr>
          <w:p>
            <w:pPr>
              <w:pStyle w:val="11"/>
            </w:pPr>
            <w:r>
              <w:t>8.90</w:t>
            </w:r>
          </w:p>
        </w:tc>
        <w:tc>
          <w:tcPr>
            <w:tcW w:w="964" w:type="dxa"/>
            <w:vAlign w:val="center"/>
          </w:tcPr>
          <w:p>
            <w:pPr>
              <w:pStyle w:val="11"/>
            </w:pPr>
            <w:r>
              <w:t>8.90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机关服务专项经费</w:t>
            </w:r>
          </w:p>
        </w:tc>
        <w:tc>
          <w:tcPr>
            <w:tcW w:w="964" w:type="dxa"/>
            <w:vAlign w:val="center"/>
          </w:tcPr>
          <w:p>
            <w:pPr>
              <w:pStyle w:val="11"/>
            </w:pPr>
            <w:r>
              <w:t>39.30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26.00</w:t>
            </w:r>
          </w:p>
        </w:tc>
        <w:tc>
          <w:tcPr>
            <w:tcW w:w="964" w:type="dxa"/>
            <w:vAlign w:val="center"/>
          </w:tcPr>
          <w:p>
            <w:pPr>
              <w:pStyle w:val="11"/>
            </w:pPr>
            <w:r>
              <w:t>26.00</w:t>
            </w:r>
          </w:p>
        </w:tc>
        <w:tc>
          <w:tcPr>
            <w:tcW w:w="964" w:type="dxa"/>
            <w:vAlign w:val="center"/>
          </w:tcPr>
          <w:p>
            <w:pPr>
              <w:pStyle w:val="11"/>
            </w:pPr>
            <w:r>
              <w:t>26.00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网络运行维护、服务费</w:t>
            </w:r>
          </w:p>
        </w:tc>
        <w:tc>
          <w:tcPr>
            <w:tcW w:w="964" w:type="dxa"/>
            <w:vAlign w:val="center"/>
          </w:tcPr>
          <w:p>
            <w:pPr>
              <w:pStyle w:val="11"/>
            </w:pPr>
            <w:r>
              <w:t>9.20</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4.20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0.60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石家庄市鹿泉区财政局本级上年末固定资产金额为2731.32万元（详见下表）。本年度拟购置固定资产总额为131.43万元，已按要求列入政府采购预算，详见政府采购预算表。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2731.32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3049</w:t>
            </w:r>
          </w:p>
        </w:tc>
        <w:tc>
          <w:tcPr>
            <w:tcW w:w="2835" w:type="dxa"/>
            <w:vAlign w:val="center"/>
          </w:tcPr>
          <w:p>
            <w:pPr>
              <w:pStyle w:val="11"/>
            </w:pPr>
            <w:r>
              <w:t>975.73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41.99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2336</w:t>
            </w:r>
          </w:p>
        </w:tc>
        <w:tc>
          <w:tcPr>
            <w:tcW w:w="2835" w:type="dxa"/>
            <w:vAlign w:val="center"/>
          </w:tcPr>
          <w:p>
            <w:pPr>
              <w:pStyle w:val="11"/>
            </w:pPr>
            <w:r>
              <w:t>427.30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4911B72"/>
    <w:rsid w:val="76533F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TotalTime>1</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2025-02-10T11:18:00Z</dcterms:created>
  <dc:creator>Administrator</dc:creator>
  <cp:lastModifiedBy>Administrator</cp:lastModifiedBy>
  <dcterms:modified xsi:type="dcterms:W3CDTF">2025-02-10T03:24:05Z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