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4</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5</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7</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8</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9</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10</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11</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12</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13</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14</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14</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14</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20</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21</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41</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41</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41</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42</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113.71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102.99</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4.57</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6.15</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113.71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113.71</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113.71</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113.71</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113.71</w:t>
            </w:r>
          </w:p>
        </w:tc>
        <w:tc>
          <w:tcPr>
            <w:tcW w:w="1134" w:type="dxa"/>
            <w:vAlign w:val="center"/>
          </w:tcPr>
          <w:p>
            <w:pPr>
              <w:pStyle w:val="单元格样式7"/>
            </w:pPr>
            <w:r>
              <w:t xml:space="preserve">113.71</w:t>
            </w:r>
          </w:p>
        </w:tc>
        <w:tc>
          <w:tcPr>
            <w:tcW w:w="1134" w:type="dxa"/>
            <w:vAlign w:val="center"/>
          </w:tcPr>
          <w:p>
            <w:pPr>
              <w:pStyle w:val="单元格样式7"/>
            </w:pPr>
            <w:r>
              <w:t xml:space="preserve">113.71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102.99</w:t>
            </w:r>
          </w:p>
        </w:tc>
        <w:tc>
          <w:tcPr>
            <w:tcW w:w="1134" w:type="dxa"/>
            <w:vAlign w:val="center"/>
          </w:tcPr>
          <w:p>
            <w:pPr>
              <w:pStyle w:val="单元格样式4"/>
            </w:pPr>
            <w:r>
              <w:t xml:space="preserve">102.99</w:t>
            </w:r>
          </w:p>
        </w:tc>
        <w:tc>
          <w:tcPr>
            <w:tcW w:w="1134" w:type="dxa"/>
            <w:vAlign w:val="center"/>
          </w:tcPr>
          <w:p>
            <w:pPr>
              <w:pStyle w:val="单元格样式4"/>
            </w:pPr>
            <w:r>
              <w:t xml:space="preserve">102.99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90.22</w:t>
            </w:r>
          </w:p>
        </w:tc>
        <w:tc>
          <w:tcPr>
            <w:tcW w:w="1134" w:type="dxa"/>
            <w:vAlign w:val="center"/>
          </w:tcPr>
          <w:p>
            <w:pPr>
              <w:pStyle w:val="单元格样式4"/>
            </w:pPr>
            <w:r>
              <w:t xml:space="preserve">90.22</w:t>
            </w:r>
          </w:p>
        </w:tc>
        <w:tc>
          <w:tcPr>
            <w:tcW w:w="1134" w:type="dxa"/>
            <w:vAlign w:val="center"/>
          </w:tcPr>
          <w:p>
            <w:pPr>
              <w:pStyle w:val="单元格样式4"/>
            </w:pPr>
            <w:r>
              <w:t xml:space="preserve">90.22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2081602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2081650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62.22</w:t>
            </w:r>
          </w:p>
        </w:tc>
        <w:tc>
          <w:tcPr>
            <w:tcW w:w="1134" w:type="dxa"/>
            <w:vAlign w:val="center"/>
          </w:tcPr>
          <w:p>
            <w:pPr>
              <w:pStyle w:val="单元格样式4"/>
            </w:pPr>
            <w:r>
              <w:t xml:space="preserve">62.22</w:t>
            </w:r>
          </w:p>
        </w:tc>
        <w:tc>
          <w:tcPr>
            <w:tcW w:w="1134" w:type="dxa"/>
            <w:vAlign w:val="center"/>
          </w:tcPr>
          <w:p>
            <w:pPr>
              <w:pStyle w:val="单元格样式4"/>
            </w:pPr>
            <w:r>
              <w:t xml:space="preserve">62.22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113.71</w:t>
            </w:r>
          </w:p>
        </w:tc>
        <w:tc>
          <w:tcPr>
            <w:tcW w:w="1361" w:type="dxa"/>
            <w:vAlign w:val="center"/>
          </w:tcPr>
          <w:p>
            <w:pPr>
              <w:pStyle w:val="单元格样式7"/>
            </w:pPr>
            <w:r>
              <w:t xml:space="preserve">79.44</w:t>
            </w:r>
          </w:p>
        </w:tc>
        <w:tc>
          <w:tcPr>
            <w:tcW w:w="1361" w:type="dxa"/>
            <w:vAlign w:val="center"/>
          </w:tcPr>
          <w:p>
            <w:pPr>
              <w:pStyle w:val="单元格样式7"/>
            </w:pPr>
            <w:r>
              <w:t xml:space="preserve">34.27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102.99</w:t>
            </w:r>
          </w:p>
        </w:tc>
        <w:tc>
          <w:tcPr>
            <w:tcW w:w="1361" w:type="dxa"/>
            <w:vAlign w:val="center"/>
          </w:tcPr>
          <w:p>
            <w:pPr>
              <w:pStyle w:val="单元格样式4"/>
            </w:pPr>
            <w:r>
              <w:t xml:space="preserve">68.72</w:t>
            </w:r>
          </w:p>
        </w:tc>
        <w:tc>
          <w:tcPr>
            <w:tcW w:w="1361" w:type="dxa"/>
            <w:vAlign w:val="center"/>
          </w:tcPr>
          <w:p>
            <w:pPr>
              <w:pStyle w:val="单元格样式4"/>
            </w:pPr>
            <w:r>
              <w:t xml:space="preserve">34.27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6.50</w:t>
            </w:r>
          </w:p>
        </w:tc>
        <w:tc>
          <w:tcPr>
            <w:tcW w:w="1361" w:type="dxa"/>
            <w:vAlign w:val="center"/>
          </w:tcPr>
          <w:p>
            <w:pPr>
              <w:pStyle w:val="单元格样式4"/>
            </w:pPr>
            <w:r>
              <w:t xml:space="preserve">6.50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6.50</w:t>
            </w:r>
          </w:p>
        </w:tc>
        <w:tc>
          <w:tcPr>
            <w:tcW w:w="1361" w:type="dxa"/>
            <w:vAlign w:val="center"/>
          </w:tcPr>
          <w:p>
            <w:pPr>
              <w:pStyle w:val="单元格样式4"/>
            </w:pPr>
            <w:r>
              <w:t xml:space="preserve">6.50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90.22</w:t>
            </w:r>
          </w:p>
        </w:tc>
        <w:tc>
          <w:tcPr>
            <w:tcW w:w="1361" w:type="dxa"/>
            <w:vAlign w:val="center"/>
          </w:tcPr>
          <w:p>
            <w:pPr>
              <w:pStyle w:val="单元格样式4"/>
            </w:pPr>
            <w:r>
              <w:t xml:space="preserve">62.22</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2081602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2081650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62.22</w:t>
            </w:r>
          </w:p>
        </w:tc>
        <w:tc>
          <w:tcPr>
            <w:tcW w:w="1361" w:type="dxa"/>
            <w:vAlign w:val="center"/>
          </w:tcPr>
          <w:p>
            <w:pPr>
              <w:pStyle w:val="单元格样式4"/>
            </w:pPr>
            <w:r>
              <w:t xml:space="preserve">62.22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4.57</w:t>
            </w:r>
          </w:p>
        </w:tc>
        <w:tc>
          <w:tcPr>
            <w:tcW w:w="1361" w:type="dxa"/>
            <w:vAlign w:val="center"/>
          </w:tcPr>
          <w:p>
            <w:pPr>
              <w:pStyle w:val="单元格样式4"/>
            </w:pPr>
            <w:r>
              <w:t xml:space="preserve">4.57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4.57</w:t>
            </w:r>
          </w:p>
        </w:tc>
        <w:tc>
          <w:tcPr>
            <w:tcW w:w="1361" w:type="dxa"/>
            <w:vAlign w:val="center"/>
          </w:tcPr>
          <w:p>
            <w:pPr>
              <w:pStyle w:val="单元格样式4"/>
            </w:pPr>
            <w:r>
              <w:t xml:space="preserve">4.57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4.57</w:t>
            </w:r>
          </w:p>
        </w:tc>
        <w:tc>
          <w:tcPr>
            <w:tcW w:w="1361" w:type="dxa"/>
            <w:vAlign w:val="center"/>
          </w:tcPr>
          <w:p>
            <w:pPr>
              <w:pStyle w:val="单元格样式4"/>
            </w:pPr>
            <w:r>
              <w:t xml:space="preserve">4.57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113.71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102.99</w:t>
            </w:r>
          </w:p>
        </w:tc>
        <w:tc>
          <w:tcPr>
            <w:tcW w:w="1474" w:type="dxa"/>
            <w:vAlign w:val="center"/>
          </w:tcPr>
          <w:p>
            <w:pPr>
              <w:pStyle w:val="单元格样式4"/>
            </w:pPr>
            <w:r>
              <w:t xml:space="preserve">102.99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4.57</w:t>
            </w:r>
          </w:p>
        </w:tc>
        <w:tc>
          <w:tcPr>
            <w:tcW w:w="1474" w:type="dxa"/>
            <w:vAlign w:val="center"/>
          </w:tcPr>
          <w:p>
            <w:pPr>
              <w:pStyle w:val="单元格样式4"/>
            </w:pPr>
            <w:r>
              <w:t xml:space="preserve">4.57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6.15</w:t>
            </w:r>
          </w:p>
        </w:tc>
        <w:tc>
          <w:tcPr>
            <w:tcW w:w="1474" w:type="dxa"/>
            <w:vAlign w:val="center"/>
          </w:tcPr>
          <w:p>
            <w:pPr>
              <w:pStyle w:val="单元格样式4"/>
            </w:pPr>
            <w:r>
              <w:t xml:space="preserve">6.15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113.71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113.71</w:t>
            </w:r>
          </w:p>
        </w:tc>
        <w:tc>
          <w:tcPr>
            <w:tcW w:w="1474" w:type="dxa"/>
            <w:vAlign w:val="center"/>
          </w:tcPr>
          <w:p>
            <w:pPr>
              <w:pStyle w:val="单元格样式7"/>
            </w:pPr>
            <w:r>
              <w:t xml:space="preserve">113.71</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113.71</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113.71</w:t>
            </w:r>
          </w:p>
        </w:tc>
        <w:tc>
          <w:tcPr>
            <w:tcW w:w="1474" w:type="dxa"/>
            <w:vAlign w:val="center"/>
          </w:tcPr>
          <w:p>
            <w:pPr>
              <w:pStyle w:val="单元格样式7"/>
            </w:pPr>
            <w:r>
              <w:t xml:space="preserve">113.71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113.71</w:t>
            </w:r>
          </w:p>
        </w:tc>
        <w:tc>
          <w:tcPr>
            <w:tcW w:w="2551" w:type="dxa"/>
            <w:vAlign w:val="center"/>
          </w:tcPr>
          <w:p>
            <w:pPr>
              <w:pStyle w:val="单元格样式7"/>
            </w:pPr>
            <w:r>
              <w:t xml:space="preserve">79.44</w:t>
            </w:r>
          </w:p>
        </w:tc>
        <w:tc>
          <w:tcPr>
            <w:tcW w:w="2551" w:type="dxa"/>
            <w:vAlign w:val="center"/>
          </w:tcPr>
          <w:p>
            <w:pPr>
              <w:pStyle w:val="单元格样式7"/>
            </w:pPr>
            <w:r>
              <w:t xml:space="preserve">34.27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102.99</w:t>
            </w:r>
          </w:p>
        </w:tc>
        <w:tc>
          <w:tcPr>
            <w:tcW w:w="2551" w:type="dxa"/>
            <w:vAlign w:val="center"/>
          </w:tcPr>
          <w:p>
            <w:pPr>
              <w:pStyle w:val="单元格样式4"/>
            </w:pPr>
            <w:r>
              <w:t xml:space="preserve">68.72</w:t>
            </w:r>
          </w:p>
        </w:tc>
        <w:tc>
          <w:tcPr>
            <w:tcW w:w="2551" w:type="dxa"/>
            <w:vAlign w:val="center"/>
          </w:tcPr>
          <w:p>
            <w:pPr>
              <w:pStyle w:val="单元格样式4"/>
            </w:pPr>
            <w:r>
              <w:t xml:space="preserve">34.27</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6.50</w:t>
            </w:r>
          </w:p>
        </w:tc>
        <w:tc>
          <w:tcPr>
            <w:tcW w:w="2551" w:type="dxa"/>
            <w:vAlign w:val="center"/>
          </w:tcPr>
          <w:p>
            <w:pPr>
              <w:pStyle w:val="单元格样式4"/>
            </w:pPr>
            <w:r>
              <w:t xml:space="preserve">6.50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6.50</w:t>
            </w:r>
          </w:p>
        </w:tc>
        <w:tc>
          <w:tcPr>
            <w:tcW w:w="2551" w:type="dxa"/>
            <w:vAlign w:val="center"/>
          </w:tcPr>
          <w:p>
            <w:pPr>
              <w:pStyle w:val="单元格样式4"/>
            </w:pPr>
            <w:r>
              <w:t xml:space="preserve">6.50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6.27</w:t>
            </w:r>
          </w:p>
        </w:tc>
        <w:tc>
          <w:tcPr>
            <w:tcW w:w="2551" w:type="dxa"/>
            <w:vAlign w:val="center"/>
          </w:tcPr>
          <w:p>
            <w:pPr>
              <w:pStyle w:val="单元格样式4"/>
            </w:pPr>
          </w:p>
        </w:tc>
        <w:tc>
          <w:tcPr>
            <w:tcW w:w="2551" w:type="dxa"/>
            <w:vAlign w:val="center"/>
          </w:tcPr>
          <w:p>
            <w:pPr>
              <w:pStyle w:val="单元格样式4"/>
            </w:pPr>
            <w:r>
              <w:t xml:space="preserve">6.27</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6.27</w:t>
            </w:r>
          </w:p>
        </w:tc>
        <w:tc>
          <w:tcPr>
            <w:tcW w:w="2551" w:type="dxa"/>
            <w:vAlign w:val="center"/>
          </w:tcPr>
          <w:p>
            <w:pPr>
              <w:pStyle w:val="单元格样式4"/>
            </w:pPr>
          </w:p>
        </w:tc>
        <w:tc>
          <w:tcPr>
            <w:tcW w:w="2551" w:type="dxa"/>
            <w:vAlign w:val="center"/>
          </w:tcPr>
          <w:p>
            <w:pPr>
              <w:pStyle w:val="单元格样式4"/>
            </w:pPr>
            <w:r>
              <w:t xml:space="preserve">6.27</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90.22</w:t>
            </w:r>
          </w:p>
        </w:tc>
        <w:tc>
          <w:tcPr>
            <w:tcW w:w="2551" w:type="dxa"/>
            <w:vAlign w:val="center"/>
          </w:tcPr>
          <w:p>
            <w:pPr>
              <w:pStyle w:val="单元格样式4"/>
            </w:pPr>
            <w:r>
              <w:t xml:space="preserve">62.22</w:t>
            </w:r>
          </w:p>
        </w:tc>
        <w:tc>
          <w:tcPr>
            <w:tcW w:w="2551" w:type="dxa"/>
            <w:vAlign w:val="center"/>
          </w:tcPr>
          <w:p>
            <w:pPr>
              <w:pStyle w:val="单元格样式4"/>
            </w:pPr>
            <w:r>
              <w:t xml:space="preserve">28.00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2081602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28.00</w:t>
            </w:r>
          </w:p>
        </w:tc>
        <w:tc>
          <w:tcPr>
            <w:tcW w:w="2551" w:type="dxa"/>
            <w:vAlign w:val="center"/>
          </w:tcPr>
          <w:p>
            <w:pPr>
              <w:pStyle w:val="单元格样式4"/>
            </w:pPr>
          </w:p>
        </w:tc>
        <w:tc>
          <w:tcPr>
            <w:tcW w:w="2551" w:type="dxa"/>
            <w:vAlign w:val="center"/>
          </w:tcPr>
          <w:p>
            <w:pPr>
              <w:pStyle w:val="单元格样式4"/>
            </w:pPr>
            <w:r>
              <w:t xml:space="preserve">28.00</w:t>
            </w: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2081650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62.22</w:t>
            </w:r>
          </w:p>
        </w:tc>
        <w:tc>
          <w:tcPr>
            <w:tcW w:w="2551" w:type="dxa"/>
            <w:vAlign w:val="center"/>
          </w:tcPr>
          <w:p>
            <w:pPr>
              <w:pStyle w:val="单元格样式4"/>
            </w:pPr>
            <w:r>
              <w:t xml:space="preserve">62.22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4.57</w:t>
            </w:r>
          </w:p>
        </w:tc>
        <w:tc>
          <w:tcPr>
            <w:tcW w:w="2551" w:type="dxa"/>
            <w:vAlign w:val="center"/>
          </w:tcPr>
          <w:p>
            <w:pPr>
              <w:pStyle w:val="单元格样式4"/>
            </w:pPr>
            <w:r>
              <w:t xml:space="preserve">4.57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4.57</w:t>
            </w:r>
          </w:p>
        </w:tc>
        <w:tc>
          <w:tcPr>
            <w:tcW w:w="2551" w:type="dxa"/>
            <w:vAlign w:val="center"/>
          </w:tcPr>
          <w:p>
            <w:pPr>
              <w:pStyle w:val="单元格样式4"/>
            </w:pPr>
            <w:r>
              <w:t xml:space="preserve">4.57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4.57</w:t>
            </w:r>
          </w:p>
        </w:tc>
        <w:tc>
          <w:tcPr>
            <w:tcW w:w="2551" w:type="dxa"/>
            <w:vAlign w:val="center"/>
          </w:tcPr>
          <w:p>
            <w:pPr>
              <w:pStyle w:val="单元格样式4"/>
            </w:pPr>
            <w:r>
              <w:t xml:space="preserve">4.57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79.44</w:t>
            </w:r>
          </w:p>
        </w:tc>
        <w:tc>
          <w:tcPr>
            <w:tcW w:w="2551" w:type="dxa"/>
            <w:vAlign w:val="center"/>
          </w:tcPr>
          <w:p>
            <w:pPr>
              <w:pStyle w:val="单元格样式7"/>
            </w:pPr>
            <w:r>
              <w:t xml:space="preserve">67.50</w:t>
            </w:r>
          </w:p>
        </w:tc>
        <w:tc>
          <w:tcPr>
            <w:tcW w:w="2551" w:type="dxa"/>
            <w:vAlign w:val="center"/>
          </w:tcPr>
          <w:p>
            <w:pPr>
              <w:pStyle w:val="单元格样式7"/>
            </w:pPr>
            <w:r>
              <w:t xml:space="preserve">11.94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67.50</w:t>
            </w:r>
          </w:p>
        </w:tc>
        <w:tc>
          <w:tcPr>
            <w:tcW w:w="2551" w:type="dxa"/>
            <w:vAlign w:val="center"/>
          </w:tcPr>
          <w:p>
            <w:pPr>
              <w:pStyle w:val="单元格样式4"/>
            </w:pPr>
            <w:r>
              <w:t xml:space="preserve">67.50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17.85</w:t>
            </w:r>
          </w:p>
        </w:tc>
        <w:tc>
          <w:tcPr>
            <w:tcW w:w="2551" w:type="dxa"/>
            <w:vAlign w:val="center"/>
          </w:tcPr>
          <w:p>
            <w:pPr>
              <w:pStyle w:val="单元格样式4"/>
            </w:pPr>
            <w:r>
              <w:t xml:space="preserve">17.85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3.62</w:t>
            </w:r>
          </w:p>
        </w:tc>
        <w:tc>
          <w:tcPr>
            <w:tcW w:w="2551" w:type="dxa"/>
            <w:vAlign w:val="center"/>
          </w:tcPr>
          <w:p>
            <w:pPr>
              <w:pStyle w:val="单元格样式4"/>
            </w:pPr>
            <w:r>
              <w:t xml:space="preserve">3.62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28.45</w:t>
            </w:r>
          </w:p>
        </w:tc>
        <w:tc>
          <w:tcPr>
            <w:tcW w:w="2551" w:type="dxa"/>
            <w:vAlign w:val="center"/>
          </w:tcPr>
          <w:p>
            <w:pPr>
              <w:pStyle w:val="单元格样式4"/>
            </w:pPr>
            <w:r>
              <w:t xml:space="preserve">28.45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6.50</w:t>
            </w:r>
          </w:p>
        </w:tc>
        <w:tc>
          <w:tcPr>
            <w:tcW w:w="2551" w:type="dxa"/>
            <w:vAlign w:val="center"/>
          </w:tcPr>
          <w:p>
            <w:pPr>
              <w:pStyle w:val="单元格样式4"/>
            </w:pPr>
            <w:r>
              <w:t xml:space="preserve">6.50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2.58</w:t>
            </w:r>
          </w:p>
        </w:tc>
        <w:tc>
          <w:tcPr>
            <w:tcW w:w="2551" w:type="dxa"/>
            <w:vAlign w:val="center"/>
          </w:tcPr>
          <w:p>
            <w:pPr>
              <w:pStyle w:val="单元格样式4"/>
            </w:pPr>
            <w:r>
              <w:t xml:space="preserve">2.58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1.99</w:t>
            </w:r>
          </w:p>
        </w:tc>
        <w:tc>
          <w:tcPr>
            <w:tcW w:w="2551" w:type="dxa"/>
            <w:vAlign w:val="center"/>
          </w:tcPr>
          <w:p>
            <w:pPr>
              <w:pStyle w:val="单元格样式4"/>
            </w:pPr>
            <w:r>
              <w:t xml:space="preserve">1.99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0.37</w:t>
            </w:r>
          </w:p>
        </w:tc>
        <w:tc>
          <w:tcPr>
            <w:tcW w:w="2551" w:type="dxa"/>
            <w:vAlign w:val="center"/>
          </w:tcPr>
          <w:p>
            <w:pPr>
              <w:pStyle w:val="单元格样式4"/>
            </w:pPr>
            <w:r>
              <w:t xml:space="preserve">0.37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11.94</w:t>
            </w:r>
          </w:p>
        </w:tc>
        <w:tc>
          <w:tcPr>
            <w:tcW w:w="2551" w:type="dxa"/>
            <w:vAlign w:val="center"/>
          </w:tcPr>
          <w:p>
            <w:pPr>
              <w:pStyle w:val="单元格样式4"/>
            </w:pPr>
          </w:p>
        </w:tc>
        <w:tc>
          <w:tcPr>
            <w:tcW w:w="2551" w:type="dxa"/>
            <w:vAlign w:val="center"/>
          </w:tcPr>
          <w:p>
            <w:pPr>
              <w:pStyle w:val="单元格样式4"/>
            </w:pPr>
            <w:r>
              <w:t xml:space="preserve">11.94</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4.61</w:t>
            </w:r>
          </w:p>
        </w:tc>
        <w:tc>
          <w:tcPr>
            <w:tcW w:w="2551" w:type="dxa"/>
            <w:vAlign w:val="center"/>
          </w:tcPr>
          <w:p>
            <w:pPr>
              <w:pStyle w:val="单元格样式4"/>
            </w:pPr>
          </w:p>
        </w:tc>
        <w:tc>
          <w:tcPr>
            <w:tcW w:w="2551" w:type="dxa"/>
            <w:vAlign w:val="center"/>
          </w:tcPr>
          <w:p>
            <w:pPr>
              <w:pStyle w:val="单元格样式4"/>
            </w:pPr>
            <w:r>
              <w:t xml:space="preserve">4.61</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0.37</w:t>
            </w:r>
          </w:p>
        </w:tc>
        <w:tc>
          <w:tcPr>
            <w:tcW w:w="2551" w:type="dxa"/>
            <w:vAlign w:val="center"/>
          </w:tcPr>
          <w:p>
            <w:pPr>
              <w:pStyle w:val="单元格样式4"/>
            </w:pPr>
          </w:p>
        </w:tc>
        <w:tc>
          <w:tcPr>
            <w:tcW w:w="2551" w:type="dxa"/>
            <w:vAlign w:val="center"/>
          </w:tcPr>
          <w:p>
            <w:pPr>
              <w:pStyle w:val="单元格样式4"/>
            </w:pPr>
            <w:r>
              <w:t xml:space="preserve">0.37</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0.44</w:t>
            </w:r>
          </w:p>
        </w:tc>
        <w:tc>
          <w:tcPr>
            <w:tcW w:w="2551" w:type="dxa"/>
            <w:vAlign w:val="center"/>
          </w:tcPr>
          <w:p>
            <w:pPr>
              <w:pStyle w:val="单元格样式4"/>
            </w:pPr>
          </w:p>
        </w:tc>
        <w:tc>
          <w:tcPr>
            <w:tcW w:w="2551" w:type="dxa"/>
            <w:vAlign w:val="center"/>
          </w:tcPr>
          <w:p>
            <w:pPr>
              <w:pStyle w:val="单元格样式4"/>
            </w:pPr>
            <w:r>
              <w:t xml:space="preserve">0.44</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1.38</w:t>
            </w:r>
          </w:p>
        </w:tc>
        <w:tc>
          <w:tcPr>
            <w:tcW w:w="2551" w:type="dxa"/>
            <w:vAlign w:val="center"/>
          </w:tcPr>
          <w:p>
            <w:pPr>
              <w:pStyle w:val="单元格样式4"/>
            </w:pPr>
          </w:p>
        </w:tc>
        <w:tc>
          <w:tcPr>
            <w:tcW w:w="2551" w:type="dxa"/>
            <w:vAlign w:val="center"/>
          </w:tcPr>
          <w:p>
            <w:pPr>
              <w:pStyle w:val="单元格样式4"/>
            </w:pPr>
            <w:r>
              <w:t xml:space="preserve">1.38</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0.04</w:t>
            </w:r>
          </w:p>
        </w:tc>
        <w:tc>
          <w:tcPr>
            <w:tcW w:w="2551" w:type="dxa"/>
            <w:vAlign w:val="center"/>
          </w:tcPr>
          <w:p>
            <w:pPr>
              <w:pStyle w:val="单元格样式4"/>
            </w:pPr>
          </w:p>
        </w:tc>
        <w:tc>
          <w:tcPr>
            <w:tcW w:w="2551" w:type="dxa"/>
            <w:vAlign w:val="center"/>
          </w:tcPr>
          <w:p>
            <w:pPr>
              <w:pStyle w:val="单元格样式4"/>
            </w:pPr>
            <w:r>
              <w:t xml:space="preserve">0.04</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2.70</w:t>
            </w:r>
          </w:p>
        </w:tc>
        <w:tc>
          <w:tcPr>
            <w:tcW w:w="2381" w:type="dxa"/>
            <w:vAlign w:val="center"/>
          </w:tcPr>
          <w:p>
            <w:pPr>
              <w:pStyle w:val="单元格样式7"/>
            </w:pPr>
            <w:r>
              <w:t xml:space="preserve">2.70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石家庄市鹿泉区红十字会2025年部门预算信息公开情况说明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石家庄市鹿泉区红十字会2025年部门预算信息公开情况说明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按照《中华人民共和国预算法》、《地方预决算公开操作规程》和《关于进一步推进预算公开工作的实施意见》规定，现将石家庄市鹿泉区红十字会2025年部门预算公开如下：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开展备灾救灾的准备工作，建立完善红十字会应急救援体系，设立备灾救灾仓库，组建应急救援队并演练。开展自然灾害的救助及突发事件的应急救援，参与灾后重建。对从事备灾物资、备灾仓库管理人员进行培训。</w:t>
      </w:r>
    </w:p>
    <w:p>
      <w:pPr>
        <w:pStyle w:val="插入文本样式-插入预算公开部门职责文件"/>
      </w:pPr>
      <w:r>
        <w:t xml:space="preserve">（二）努力推进应急救护知识普及，建立红十字应急救护培训长效机制，充分发挥红十字会在公众参与的应急救护培训中的主体作用，积极推动红十字救护培训进社区、进农村、进学校、进企业、进机关。</w:t>
      </w:r>
    </w:p>
    <w:p>
      <w:pPr>
        <w:pStyle w:val="插入文本样式-插入预算公开部门职责文件"/>
      </w:pPr>
      <w:r>
        <w:t xml:space="preserve">（三）致力关注民生，积极开展弱势群体帮扶，向社会大力募集资金，建立专项救助基金。面向困难群体开展符合其宗旨的人道救助工作，重点救助困难群众及患病儿童。</w:t>
      </w:r>
    </w:p>
    <w:p>
      <w:pPr>
        <w:pStyle w:val="插入文本样式-插入预算公开部门职责文件"/>
      </w:pPr>
      <w:r>
        <w:t xml:space="preserve">（四）认真贯彻执行《中华人民共和国红十字会法》和《中国红十字会章程》，指导全区红十字会组织开展活动，推动红十字会各项工作的开展。</w:t>
      </w:r>
    </w:p>
    <w:p>
      <w:pPr>
        <w:pStyle w:val="插入文本样式-插入预算公开部门职责文件"/>
      </w:pPr>
      <w:r>
        <w:t xml:space="preserve">（五）加强无偿献血、造血干细胞捐献、遗体和人体器官捐献知识宣传普及和捐献工作，大力建设红十字博爱家园，不断扩大红十字会影响。</w:t>
      </w:r>
    </w:p>
    <w:p>
      <w:pPr>
        <w:pStyle w:val="插入文本样式-插入预算公开部门职责文件"/>
      </w:pPr>
      <w:r>
        <w:t xml:space="preserve">（六）开展红十字青少年和志愿服务活动，广泛宣传《中华人民共和国红十字会法》，加强与国际红十字及港澳台组织在人道救援、志愿服务、红十字青少年等方面交流与合作。积极参与国际红十字运动，积极发展红十字会志愿者，提升红十字会社会影响力。</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石家庄市鹿泉区红十字会本级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按照预算管理有关规定，目前部门预算的编制实行综合预算管理，即全部收入和支出都反映在预算中。石家庄市鹿泉区红十字会机关及所属事业单位的收支包含在部门预算中。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113.71万元，其中：一般公共预算收入113.71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鹿泉区红十字会年度部门预算中支出预算的总体情况。2025年支出预算113.71万元，其中基本支出79.44万元，包括人员经费67.50万元和日常公用经费11.94万元；项目支出34.27万元，主要为应急救援、应急救护、人道救助、三献工作、健康石家庄鹿泉行动及退役军人工资项目资金等支出。</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2025年预算收支安排113.71万元，较2024年预算减少3.33万元，其中：基本支出减少3.54万元，主要为人员经费支出减少。项目支出增加0.21万元，主要为增加退役军人工资项目资金支出。</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2025年，我部门机关运行经费共计安排11.94万元，主要用于日常维修、办公用房水电费、办公用房取暖费、办公用房物业管理费等日常运行支出。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2.70万元，其中因公出国（境）费0.00万元；公务用车购置及运维费2.70万元（其中：公务用车购置费为0.00万元，公务用车运维费2.70万元)；公务接待费0.00万元。与2024年相比增加0.00万元，增减变化的主要原因是2025年，我部门财政拨款“三公”经费预算安排2.70万元，其中因公出国（境）费0.00万元； 公务用车购置及运维费2.70万元（其中：公务用车购置费为0.00万元，公务用车运维费2.70万元)； 公务接待费0.00万元。与2024年相比持平，无增减变化。</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鹿泉区红十字会是以发扬人道、博爱、奉献精神，保护人的生命和健康，促进人类和平进步事业为宗旨的社会救助团体，在区委、区政府的正确领导下，紧紧围绕红十字会总会、省市红十字会工作要求和服务区委、区政府中心任务，大力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充分履行政府人道救助领域助手职责，努力推动全区红十字工作再上新台阶。履行以下职能：</w:t>
      </w:r>
    </w:p>
    <w:p>
      <w:pPr>
        <w:pStyle w:val="插入文本样式-插入总体目标文件"/>
      </w:pPr>
      <w:r>
        <w:t xml:space="preserve">1、开展备灾救灾的准备工作，建立完善红十字会应急救援体系，设立备灾救灾仓库，组建应急救援队并演练。开展自然灾害的救助及突发事件的应急救援，参与灾后重建。对从事备灾物资、备灾仓库管理人员进行培训。</w:t>
      </w:r>
    </w:p>
    <w:p>
      <w:pPr>
        <w:pStyle w:val="插入文本样式-插入总体目标文件"/>
      </w:pPr>
      <w:r>
        <w:t xml:space="preserve">2、努力推进应急救护知识普及，建立红十字应急救护培训长效机制，充分发挥红十字会在公众参与的应急救护培训中的主体作用，积极推动红十字救护培训进社区、进农村、进学校、进企业、进机关。</w:t>
      </w:r>
    </w:p>
    <w:p>
      <w:pPr>
        <w:pStyle w:val="插入文本样式-插入总体目标文件"/>
      </w:pPr>
      <w:r>
        <w:t xml:space="preserve">3、致力关注民生，积极开展弱势群体帮扶，向社会大力募集资金，建立专项救助基金。面向困难群体开展符合其宗旨的人道救助工作，重点救助困难群众及患病儿童。</w:t>
      </w:r>
    </w:p>
    <w:p>
      <w:pPr>
        <w:pStyle w:val="插入文本样式-插入总体目标文件"/>
      </w:pPr>
      <w:r>
        <w:t xml:space="preserve">4、认真贯彻执行《中华人民共和国红十字会法》和《中国红十字会章程》，指导全区红十字组织开展活动，推动红十字会各项工作的开展。</w:t>
      </w:r>
    </w:p>
    <w:p>
      <w:pPr>
        <w:pStyle w:val="插入文本样式-插入总体目标文件"/>
      </w:pPr>
      <w:r>
        <w:t xml:space="preserve">5、加强无偿献血、造血干细胞捐献、遗体和人体器官捐献知识宣传普及和捐献工作，大力建设红十字博爱家园，不断扩大红十字会影响。</w:t>
      </w:r>
    </w:p>
    <w:p>
      <w:pPr>
        <w:pStyle w:val="插入文本样式-插入总体目标文件"/>
      </w:pPr>
      <w:r>
        <w:t xml:space="preserve">6、开展红十字青少年和志愿服务活动，广泛宣传《中华人民共和国红十字会法》，加强与国际红十字及港澳台组织在人道救援、志愿服务、红十字青少年等方面交流与合作。积极参与国际红十字运动，积极发展红十字志愿者，提升红十字会社会影响力。</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（一）“健康石家庄鹿泉行动”红十字应急救护培训工作。</w:t>
      </w:r>
    </w:p>
    <w:p>
      <w:pPr>
        <w:pStyle w:val="插入文本样式-插入职责分类绩效目标文件"/>
      </w:pPr>
      <w:r>
        <w:t xml:space="preserve">绩效目标：开展关爱生命就在身边行动，加强应急救护只是技能普及培训，弘扬人人学急救急救为人人的社会文明风尚。</w:t>
      </w:r>
    </w:p>
    <w:p>
      <w:pPr>
        <w:pStyle w:val="插入文本样式-插入职责分类绩效目标文件"/>
      </w:pPr>
      <w:r>
        <w:t xml:space="preserve">绩效指标：培训学员取得心肺复苏技能证、初级救护员证、救护员证等，提高受训学员培训合格率，得到广大受众的充分认可，服务对象满意度达到90%以上。</w:t>
      </w:r>
    </w:p>
    <w:p>
      <w:pPr>
        <w:pStyle w:val="插入文本样式-插入职责分类绩效目标文件"/>
      </w:pPr>
      <w:r>
        <w:t xml:space="preserve">（二）开展“三献”工作。</w:t>
      </w:r>
    </w:p>
    <w:p>
      <w:pPr>
        <w:pStyle w:val="插入文本样式-插入职责分类绩效目标文件"/>
      </w:pPr>
      <w:r>
        <w:t xml:space="preserve">绩效目标：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p>
    <w:p>
      <w:pPr>
        <w:pStyle w:val="插入文本样式-插入职责分类绩效目标文件"/>
      </w:pPr>
      <w:r>
        <w:t xml:space="preserve">绩效指标：开展宣传纪念活动、开展红十字会青少年宣传普及活动，制作与发放外宣品等，开展宣传活动产生的影响，得到广大受众的认可，社会影响力和工作满意度达到90%以上。</w:t>
      </w:r>
    </w:p>
    <w:p>
      <w:pPr>
        <w:pStyle w:val="插入文本样式-插入职责分类绩效目标文件"/>
      </w:pPr>
      <w:r>
        <w:t xml:space="preserve">（三）退红十字事业发展-退役军人工资保障工作。</w:t>
      </w:r>
    </w:p>
    <w:p>
      <w:pPr>
        <w:pStyle w:val="插入文本样式-插入职责分类绩效目标文件"/>
      </w:pPr>
      <w:r>
        <w:t xml:space="preserve">绩效目标：根据鹿泉办文〔2017〕31号文《鹿泉区关于进一步做好部分军队退役人员帮扶救助的若干措施》的通知，区红十字会2025年安置退役军人劳务派遣1人。需申请月工资0.385万元、年工资4.62万元，年社保费1.38万元，档案管理费0.048万元、过冬补贴0.22万元，以上三项共计6.27万元。     </w:t>
      </w:r>
    </w:p>
    <w:p>
      <w:pPr>
        <w:pStyle w:val="插入文本样式-插入职责分类绩效目标文件"/>
      </w:pPr>
      <w:r>
        <w:t xml:space="preserve">绩效指标：通过按时按标准发放工资福利等，进一步增强干部职工的归属感，保持干部队伍相对稳定，保障办公正常运转。单位人员对工资福利等发放工作的满意程度达到95%以上。</w:t>
      </w:r>
    </w:p>
    <w:p>
      <w:pPr>
        <w:pStyle w:val="插入文本样式-插入职责分类绩效目标文件"/>
      </w:pPr>
      <w:r>
        <w:t xml:space="preserve">（四）开展人道救助工作。</w:t>
      </w:r>
    </w:p>
    <w:p>
      <w:pPr>
        <w:pStyle w:val="插入文本样式-插入职责分类绩效目标文件"/>
      </w:pPr>
      <w:r>
        <w:t xml:space="preserve">绩效目标：加强公益设施建设，促进社区、学校红十字会基层组织和服务能力建设；对社区居民、在校学生进行宣传普及培训，开展讲座，提高自救互救能力。全区红十字会换届工作作为重点工作力争上半年完成。     </w:t>
      </w:r>
    </w:p>
    <w:p>
      <w:pPr>
        <w:pStyle w:val="插入文本样式-插入职责分类绩效目标文件"/>
      </w:pPr>
      <w:r>
        <w:t xml:space="preserve">绩效指标：社区居民及在校学生宣传1000人次以上，召开红十字会会员代表大会，红十字宣传展牌及宣传资料；在全区产生的重要影响，得到广大受众的充分认可，为群众所提供服务的满意度达到90%以上。</w:t>
      </w:r>
    </w:p>
    <w:p>
      <w:pPr>
        <w:pStyle w:val="插入文本样式-插入职责分类绩效目标文件"/>
      </w:pPr>
      <w:r>
        <w:t xml:space="preserve">（五）开展应急救护工作。</w:t>
      </w:r>
    </w:p>
    <w:p>
      <w:pPr>
        <w:pStyle w:val="插入文本样式-插入职责分类绩效目标文件"/>
      </w:pPr>
      <w:r>
        <w:t xml:space="preserve">绩效目标：面向群众开展应急救护知识宣传，提高群众自救互救能力；培训在校学生学生应急救护知识，增强学生应急避险意识，掌握应急救护知识技能；培训救护员、初级救护员等，提高群众意外突发事件应对能力。    </w:t>
      </w:r>
    </w:p>
    <w:p>
      <w:pPr>
        <w:pStyle w:val="插入文本样式-插入职责分类绩效目标文件"/>
      </w:pPr>
      <w:r>
        <w:t xml:space="preserve">绩效指标：应急救护知识普及4000人次以上，按时完成工作任务，培训宣传普及合格率、各项任务完成及时率达到90%以上；得到广大群众的充分认可，满意度达到90%以上。</w:t>
      </w:r>
    </w:p>
    <w:p>
      <w:pPr>
        <w:pStyle w:val="插入文本样式-插入职责分类绩效目标文件"/>
      </w:pPr>
      <w:r>
        <w:t xml:space="preserve">（六）开展应急救援工作。</w:t>
      </w:r>
    </w:p>
    <w:p>
      <w:pPr>
        <w:pStyle w:val="插入文本样式-插入职责分类绩效目标文件"/>
      </w:pPr>
      <w:r>
        <w:t xml:space="preserve">绩效目标：设立备灾救灾仓库，提高应急救助能力、备灾救灾能力和备灾救灾水平。建立应急救援队伍，配备基本救援装备，完成应急救援各项准备工作。</w:t>
      </w:r>
      <w:r>
        <w:tab/>
      </w:r>
      <w:r>
        <w:tab/>
      </w:r>
    </w:p>
    <w:p>
      <w:pPr>
        <w:pStyle w:val="插入文本样式-插入职责分类绩效目标文件"/>
      </w:pPr>
      <w:r>
        <w:t xml:space="preserve">绩效指标：租赁备灾仓库，面积不低于100平方米；招募红十字会应急救护队员36人，提高社会影响力，得到广大群众的充分认可，群众满意度达到90%以上。</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完善制度建设。制定重点工作台账，将每项工作任务分解，明确责任到人，全面落实主体责任，切实担负起职责使命，奋力推动上级关于红十字会工作的各项决策部署落地落实，为全年预算绩效目标的实现奠定基础。</w:t>
      </w:r>
    </w:p>
    <w:p>
      <w:pPr>
        <w:pStyle w:val="插入文本样式-插入实现年度发展规划目标的保障措施文件"/>
      </w:pPr>
      <w:r>
        <w:t xml:space="preserve">加强支出管理。将年度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pStyle w:val="插入文本样式-插入实现年度发展规划目标的保障措施文件"/>
      </w:pPr>
      <w:r>
        <w:t xml:space="preserve">加强绩效运行监控。严格执行三重一大制度，所有大额资金支出、重大项目实施等，必须经领导班子会研究通过并执行。按要求开展绩效运行监控，发现问题及时采取措施，确保绩效目标如期保质实现。</w:t>
      </w:r>
    </w:p>
    <w:p>
      <w:pPr>
        <w:pStyle w:val="插入文本样式-插入实现年度发展规划目标的保障措施文件"/>
      </w:pPr>
      <w:r>
        <w:t xml:space="preserve">做好绩效自评。按要求开展上年度部门预算绩效自评和重点评价工作，对评价中发现的问题及时整改，调整优化支出结构，提高财政资金使用效益。针对当前在备灾救灾、应急救护、人道救助等方面存在的风险隐患，逐一研究制定行之有效的防范措施，防范化解突出问题，逐项消除风险隐患。</w:t>
      </w:r>
    </w:p>
    <w:p>
      <w:pPr>
        <w:pStyle w:val="插入文本样式-插入实现年度发展规划目标的保障措施文件"/>
      </w:pPr>
      <w:r>
        <w:t xml:space="preserve">规范财务资产管理。完善财务管理制度，严格审批程序，加强固定资产登记、使用和报废处置管理，做到支出合理，物尽其用。建立离任审计制度，确保财务管理规范合理。</w:t>
      </w:r>
    </w:p>
    <w:p>
      <w:pPr>
        <w:pStyle w:val="插入文本样式-插入实现年度发展规划目标的保障措施文件"/>
      </w:pPr>
      <w:r>
        <w:t xml:space="preserve">加强内部监督。针对当前在备灾救灾、应急救护、人道救助等方面存在的风险隐患，逐一研究制定行之有效的防范措施，防范化解突出问题，逐项消除风险隐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1、“健康石家庄鹿泉行动”红十字应急救护培训绩效目标表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“健康石家庄鹿泉行动”红十字应急救护培训</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开展关爱生命就在身边行动，加强应急救护知识技能普及培训，弘扬人人学急救急救为人人的社会文明风尚</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1.开展关爱生命就在身边行动，加强应急救护知识技能普及培训，弘扬人人学急救急救为人人的社会文明风尚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取得心肺复苏技能证、初级救护员证、救护员证等人数</w:t>
            </w:r>
          </w:p>
        </w:tc>
        <w:tc>
          <w:tcPr>
            <w:tcW w:w="5386" w:type="dxa"/>
            <w:vAlign w:val="center"/>
          </w:tcPr>
          <w:p>
            <w:pPr>
              <w:pStyle w:val="单元格样式2"/>
            </w:pPr>
            <w:r>
              <w:t xml:space="preserve">取得心肺复苏技能证、初级救护员证、救护员证等人数</w:t>
            </w:r>
          </w:p>
        </w:tc>
        <w:tc>
          <w:tcPr>
            <w:tcW w:w="2268" w:type="dxa"/>
            <w:vAlign w:val="center"/>
          </w:tcPr>
          <w:p>
            <w:pPr>
              <w:pStyle w:val="单元格样式2"/>
            </w:pPr>
            <w:r>
              <w:t xml:space="preserve">≥706人</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取得心肺复苏技能证、初级救护员证、救护员证等合格率</w:t>
            </w:r>
          </w:p>
        </w:tc>
        <w:tc>
          <w:tcPr>
            <w:tcW w:w="5386" w:type="dxa"/>
            <w:vAlign w:val="center"/>
          </w:tcPr>
          <w:p>
            <w:pPr>
              <w:pStyle w:val="单元格样式2"/>
            </w:pPr>
            <w:r>
              <w:t xml:space="preserve">取得心肺复苏技能证、初级救护员证、救护员证等合格率</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取得心肺复苏技能证、初级救护员证、救护员证等培训任务完成及时率（%）</w:t>
            </w:r>
          </w:p>
        </w:tc>
        <w:tc>
          <w:tcPr>
            <w:tcW w:w="5386" w:type="dxa"/>
            <w:vAlign w:val="center"/>
          </w:tcPr>
          <w:p>
            <w:pPr>
              <w:pStyle w:val="单元格样式2"/>
            </w:pPr>
            <w:r>
              <w:t xml:space="preserve">取得心肺复苏技能证、初级救护员证、救护员证等培训任务完成及时率（%）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受训人员培训合格率</w:t>
            </w:r>
          </w:p>
        </w:tc>
        <w:tc>
          <w:tcPr>
            <w:tcW w:w="5386" w:type="dxa"/>
            <w:vAlign w:val="center"/>
          </w:tcPr>
          <w:p>
            <w:pPr>
              <w:pStyle w:val="单元格样式2"/>
            </w:pPr>
            <w:r>
              <w:t xml:space="preserve">提高受训人员培训合格率，得到广大受众的充分认可。</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开展健康行动应急救护知识宣传普及知晓率</w:t>
            </w:r>
          </w:p>
        </w:tc>
        <w:tc>
          <w:tcPr>
            <w:tcW w:w="5386" w:type="dxa"/>
            <w:vAlign w:val="center"/>
          </w:tcPr>
          <w:p>
            <w:pPr>
              <w:pStyle w:val="单元格样式2"/>
            </w:pPr>
            <w:r>
              <w:t xml:space="preserve">开展健康行动应急救护知识宣传普及知晓率</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2、红十字事业发展-“三献”工作绩效目标表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红十字事业发展-“三献”工作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开展宣传纪念活动数量</w:t>
            </w:r>
          </w:p>
        </w:tc>
        <w:tc>
          <w:tcPr>
            <w:tcW w:w="5386" w:type="dxa"/>
            <w:vAlign w:val="center"/>
          </w:tcPr>
          <w:p>
            <w:pPr>
              <w:pStyle w:val="单元格样式2"/>
            </w:pPr>
            <w:r>
              <w:t xml:space="preserve">开展宣传纪念活动数量</w:t>
            </w:r>
          </w:p>
        </w:tc>
        <w:tc>
          <w:tcPr>
            <w:tcW w:w="2268" w:type="dxa"/>
            <w:vAlign w:val="center"/>
          </w:tcPr>
          <w:p>
            <w:pPr>
              <w:pStyle w:val="单元格样式2"/>
            </w:pPr>
            <w:r>
              <w:t xml:space="preserve">≥10次</w:t>
            </w:r>
          </w:p>
        </w:tc>
        <w:tc>
          <w:tcPr>
            <w:tcW w:w="1276" w:type="dxa"/>
            <w:vAlign w:val="center"/>
          </w:tcPr>
          <w:p>
            <w:pPr>
              <w:pStyle w:val="单元格样式2"/>
            </w:pPr>
            <w:r>
              <w:t xml:space="preserve">《国务院关于促进红十字事业发展的意见》、《石家庄市政府办公厅关于加快红十字事业发展的通知》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制作与发放外宣品的数量</w:t>
            </w:r>
          </w:p>
        </w:tc>
        <w:tc>
          <w:tcPr>
            <w:tcW w:w="5386" w:type="dxa"/>
            <w:vAlign w:val="center"/>
          </w:tcPr>
          <w:p>
            <w:pPr>
              <w:pStyle w:val="单元格样式2"/>
            </w:pPr>
            <w:r>
              <w:t xml:space="preserve">制作与发放外宣品的数量</w:t>
            </w:r>
          </w:p>
        </w:tc>
        <w:tc>
          <w:tcPr>
            <w:tcW w:w="2268" w:type="dxa"/>
            <w:vAlign w:val="center"/>
          </w:tcPr>
          <w:p>
            <w:pPr>
              <w:pStyle w:val="单元格样式2"/>
            </w:pPr>
            <w:r>
              <w:t xml:space="preserve">≥5000份</w:t>
            </w:r>
          </w:p>
        </w:tc>
        <w:tc>
          <w:tcPr>
            <w:tcW w:w="1276" w:type="dxa"/>
            <w:vAlign w:val="center"/>
          </w:tcPr>
          <w:p>
            <w:pPr>
              <w:pStyle w:val="单元格样式2"/>
            </w:pPr>
            <w:r>
              <w:t xml:space="preserve">《国务院关于促进红十字事业发展的意见》、《石家庄市政府办公厅关于加快红十字事业发展的通知》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开展红十字会青少年宣传普及活动人次</w:t>
            </w:r>
          </w:p>
        </w:tc>
        <w:tc>
          <w:tcPr>
            <w:tcW w:w="5386" w:type="dxa"/>
            <w:vAlign w:val="center"/>
          </w:tcPr>
          <w:p>
            <w:pPr>
              <w:pStyle w:val="单元格样式2"/>
            </w:pPr>
            <w:r>
              <w:t xml:space="preserve">开展红十字会青少年宣传普及活动人次</w:t>
            </w:r>
          </w:p>
        </w:tc>
        <w:tc>
          <w:tcPr>
            <w:tcW w:w="2268" w:type="dxa"/>
            <w:vAlign w:val="center"/>
          </w:tcPr>
          <w:p>
            <w:pPr>
              <w:pStyle w:val="单元格样式2"/>
            </w:pPr>
            <w:r>
              <w:t xml:space="preserve">≥2500人次</w:t>
            </w:r>
          </w:p>
        </w:tc>
        <w:tc>
          <w:tcPr>
            <w:tcW w:w="1276" w:type="dxa"/>
            <w:vAlign w:val="center"/>
          </w:tcPr>
          <w:p>
            <w:pPr>
              <w:pStyle w:val="单元格样式2"/>
            </w:pPr>
            <w:r>
              <w:t xml:space="preserve">《河北省人民政府关于加快红十字事业发展的实施意见》、《石家庄市人民政府办公厅关于加快红十字事业发展的通知》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开展各项活动完成情况</w:t>
            </w:r>
          </w:p>
        </w:tc>
        <w:tc>
          <w:tcPr>
            <w:tcW w:w="5386" w:type="dxa"/>
            <w:vAlign w:val="center"/>
          </w:tcPr>
          <w:p>
            <w:pPr>
              <w:pStyle w:val="单元格样式2"/>
            </w:pPr>
            <w:r>
              <w:t xml:space="preserve">开展各项活动完成情况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开展各项活动完成及时率</w:t>
            </w:r>
          </w:p>
        </w:tc>
        <w:tc>
          <w:tcPr>
            <w:tcW w:w="5386" w:type="dxa"/>
            <w:vAlign w:val="center"/>
          </w:tcPr>
          <w:p>
            <w:pPr>
              <w:pStyle w:val="单元格样式2"/>
            </w:pPr>
            <w:r>
              <w:t xml:space="preserve">开展各项活动完成及时率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≤3万元</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对全区红十字会事业发展的促进推动作用</w:t>
            </w:r>
          </w:p>
        </w:tc>
        <w:tc>
          <w:tcPr>
            <w:tcW w:w="5386" w:type="dxa"/>
            <w:vAlign w:val="center"/>
          </w:tcPr>
          <w:p>
            <w:pPr>
              <w:pStyle w:val="单元格样式2"/>
            </w:pPr>
            <w:r>
              <w:t xml:space="preserve">通过开展各类志愿服务活动，普及基本知识，促进我区红十字会事业发展的效果</w:t>
            </w:r>
          </w:p>
        </w:tc>
        <w:tc>
          <w:tcPr>
            <w:tcW w:w="2268" w:type="dxa"/>
            <w:vAlign w:val="center"/>
          </w:tcPr>
          <w:p>
            <w:pPr>
              <w:pStyle w:val="单元格样式2"/>
            </w:pPr>
            <w:r>
              <w:t xml:space="preserve">明显促进</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开展志愿服务活动参与者满意度情况</w:t>
            </w:r>
          </w:p>
        </w:tc>
        <w:tc>
          <w:tcPr>
            <w:tcW w:w="5386" w:type="dxa"/>
            <w:vAlign w:val="center"/>
          </w:tcPr>
          <w:p>
            <w:pPr>
              <w:pStyle w:val="单元格样式2"/>
            </w:pPr>
            <w:r>
              <w:t xml:space="preserve">开展志愿服务活动参与者满意度</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3、红十字事业发展-退役军人工资绩效目标表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13011025P002777100033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红十字事业发展-退役军人工资</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根据鹿泉办文【2017】31号文《鹿泉区关于进一步做好部分军队退役人员帮扶救助的若干措施》的通知，区红十字会2025年安置退役军人劳务派遣1人。需申请月工资0.385万元、年工资4.62万元，年社保费1.38万元，档案管理费0.048万元、过冬补贴0.22万元，以上三项共计6.27万元。</w:t>
            </w:r>
            <w:r>
              <w:rPr/>
              <w:tab/>
            </w:r>
            <w:r>
              <w:rPr/>
              <w:tab/>
            </w:r>
            <w:r>
              <w:rPr/>
              <w:tab/>
            </w:r>
            <w:r>
              <w:rPr/>
              <w:tab/>
            </w:r>
            <w:r>
              <w:rPr/>
              <w:tab/>
            </w:r>
            <w:r>
              <w:rPr/>
              <w:tab/>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鹿泉办文【2017】31号文《鹿泉区关于进一步做好部分军队退役人员帮扶救助的若干措施》的通知，区红十字会2025年安置退役军人劳务派遣1人。需申请月工资0.385万元、年工资4.62万元，年社保费1.38万元，档案管理费0.048万元、过冬补贴0.22万元，以上三项共计6.27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1人</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工资发放精准性</w:t>
            </w:r>
          </w:p>
        </w:tc>
        <w:tc>
          <w:tcPr>
            <w:tcW w:w="5386" w:type="dxa"/>
            <w:vAlign w:val="center"/>
          </w:tcPr>
          <w:p>
            <w:pPr>
              <w:pStyle w:val="单元格样式2"/>
            </w:pPr>
            <w:r>
              <w:t xml:space="preserve">工资福利等发放人员范围的精准性和发放数据的准确性</w:t>
            </w:r>
          </w:p>
        </w:tc>
        <w:tc>
          <w:tcPr>
            <w:tcW w:w="2268" w:type="dxa"/>
            <w:vAlign w:val="center"/>
          </w:tcPr>
          <w:p>
            <w:pPr>
              <w:pStyle w:val="单元格样式2"/>
            </w:pPr>
            <w:r>
              <w:t xml:space="preserve">100%</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工资发放准时率</w:t>
            </w:r>
          </w:p>
        </w:tc>
        <w:tc>
          <w:tcPr>
            <w:tcW w:w="5386" w:type="dxa"/>
            <w:vAlign w:val="center"/>
          </w:tcPr>
          <w:p>
            <w:pPr>
              <w:pStyle w:val="单元格样式2"/>
            </w:pPr>
            <w:r>
              <w:t xml:space="preserve">工资发放准时率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工资、社保等发放（缴纳）标准</w:t>
            </w:r>
          </w:p>
        </w:tc>
        <w:tc>
          <w:tcPr>
            <w:tcW w:w="5386" w:type="dxa"/>
            <w:vAlign w:val="center"/>
          </w:tcPr>
          <w:p>
            <w:pPr>
              <w:pStyle w:val="单元格样式2"/>
            </w:pPr>
            <w:r>
              <w:t xml:space="preserve">工资、社保等发放（缴纳）标准</w:t>
            </w:r>
          </w:p>
        </w:tc>
        <w:tc>
          <w:tcPr>
            <w:tcW w:w="2268" w:type="dxa"/>
            <w:vAlign w:val="center"/>
          </w:tcPr>
          <w:p>
            <w:pPr>
              <w:pStyle w:val="单元格样式2"/>
            </w:pPr>
            <w:r>
              <w:t xml:space="preserve">按规定标准执行</w:t>
            </w:r>
          </w:p>
        </w:tc>
        <w:tc>
          <w:tcPr>
            <w:tcW w:w="1276" w:type="dxa"/>
            <w:vAlign w:val="center"/>
          </w:tcPr>
          <w:p>
            <w:pPr>
              <w:pStyle w:val="单元格样式2"/>
            </w:pPr>
            <w:r>
              <w:t xml:space="preserve">鹿泉办文【2017】31号文</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加强工作人员归属感，保持干部队伍稳定</w:t>
            </w:r>
          </w:p>
        </w:tc>
        <w:tc>
          <w:tcPr>
            <w:tcW w:w="5386" w:type="dxa"/>
            <w:vAlign w:val="center"/>
          </w:tcPr>
          <w:p>
            <w:pPr>
              <w:pStyle w:val="单元格样式2"/>
            </w:pPr>
            <w:r>
              <w:t xml:space="preserve">通过按时按标准发放工资福利等，进一步增强干部职工的归属感，保持干部队伍相对稳定，保障办公正常运转</w:t>
            </w:r>
          </w:p>
        </w:tc>
        <w:tc>
          <w:tcPr>
            <w:tcW w:w="2268" w:type="dxa"/>
            <w:vAlign w:val="center"/>
          </w:tcPr>
          <w:p>
            <w:pPr>
              <w:pStyle w:val="单元格样式2"/>
            </w:pPr>
            <w:r>
              <w:t xml:space="preserve">保持干部队伍稳定</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加强职工归属感和责任感</w:t>
            </w:r>
          </w:p>
        </w:tc>
        <w:tc>
          <w:tcPr>
            <w:tcW w:w="5386" w:type="dxa"/>
            <w:vAlign w:val="center"/>
          </w:tcPr>
          <w:p>
            <w:pPr>
              <w:pStyle w:val="单元格样式2"/>
            </w:pPr>
            <w:r>
              <w:t xml:space="preserve">通过按时按标准发放工资福利等，进一步增强干部职工的归属感，保持干部队伍相对稳定，保障办公正常运转</w:t>
            </w:r>
          </w:p>
        </w:tc>
        <w:tc>
          <w:tcPr>
            <w:tcW w:w="2268" w:type="dxa"/>
            <w:vAlign w:val="center"/>
          </w:tcPr>
          <w:p>
            <w:pPr>
              <w:pStyle w:val="单元格样式2"/>
            </w:pPr>
            <w:r>
              <w:t xml:space="preserve">增强职工归属感</w:t>
            </w:r>
          </w:p>
        </w:tc>
        <w:tc>
          <w:tcPr>
            <w:tcW w:w="1276" w:type="dxa"/>
            <w:vAlign w:val="center"/>
          </w:tcPr>
          <w:p>
            <w:pPr>
              <w:pStyle w:val="单元格样式2"/>
            </w:pPr>
            <w:r>
              <w:t xml:space="preserve">鹿泉办文【2017】31号文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单位人员对工资福利等发放工作满意度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4、社会救助-人道救助绩效目标表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社会救助-人道救助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加强公益设施建设，促进社区、学校红十字会基层组织和服务能力建设；对社区居民、在校学生进行宣传普及培训，开展讲座，提高自救互救能力。全区红十字会换届工作作为重点工作力争上半年完成。</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1.加强公益设施建设，促进社区、学校红十字会基层组织和服务能力建设；对社区居民、在校学生进行宣传普及培训，开展讲座，提高自救互救能力。全区红十字会换届工作作为重点工作力争上半年完成。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社区居民及在校学生宣传数量</w:t>
            </w:r>
          </w:p>
        </w:tc>
        <w:tc>
          <w:tcPr>
            <w:tcW w:w="5386" w:type="dxa"/>
            <w:vAlign w:val="center"/>
          </w:tcPr>
          <w:p>
            <w:pPr>
              <w:pStyle w:val="单元格样式2"/>
            </w:pPr>
            <w:r>
              <w:t xml:space="preserve">社区居民及在校学生宣传数量</w:t>
            </w:r>
          </w:p>
        </w:tc>
        <w:tc>
          <w:tcPr>
            <w:tcW w:w="2268" w:type="dxa"/>
            <w:vAlign w:val="center"/>
          </w:tcPr>
          <w:p>
            <w:pPr>
              <w:pStyle w:val="单元格样式2"/>
            </w:pPr>
            <w:r>
              <w:t xml:space="preserve">≥1000人次</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社区居民及在校学生宣传普及知晓率</w:t>
            </w:r>
          </w:p>
        </w:tc>
        <w:tc>
          <w:tcPr>
            <w:tcW w:w="5386" w:type="dxa"/>
            <w:vAlign w:val="center"/>
          </w:tcPr>
          <w:p>
            <w:pPr>
              <w:pStyle w:val="单元格样式2"/>
            </w:pPr>
            <w:r>
              <w:t xml:space="preserve">社区居民及在校学生宣传普及知晓率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社区居民及在校学生宣传普及按时完成率</w:t>
            </w:r>
          </w:p>
        </w:tc>
        <w:tc>
          <w:tcPr>
            <w:tcW w:w="5386" w:type="dxa"/>
            <w:vAlign w:val="center"/>
          </w:tcPr>
          <w:p>
            <w:pPr>
              <w:pStyle w:val="单元格样式2"/>
            </w:pPr>
            <w:r>
              <w:t xml:space="preserve">社区居民及在校学生宣传普及按时完成率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活动宣传成本</w:t>
            </w:r>
          </w:p>
        </w:tc>
        <w:tc>
          <w:tcPr>
            <w:tcW w:w="5386" w:type="dxa"/>
            <w:vAlign w:val="center"/>
          </w:tcPr>
          <w:p>
            <w:pPr>
              <w:pStyle w:val="单元格样式2"/>
            </w:pPr>
            <w:r>
              <w:t xml:space="preserve">活动宣传成本</w:t>
            </w:r>
          </w:p>
        </w:tc>
        <w:tc>
          <w:tcPr>
            <w:tcW w:w="2268" w:type="dxa"/>
            <w:vAlign w:val="center"/>
          </w:tcPr>
          <w:p>
            <w:pPr>
              <w:pStyle w:val="单元格样式2"/>
            </w:pPr>
            <w:r>
              <w:t xml:space="preserve">≤2万元</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红十字会会员代表大会次数</w:t>
            </w:r>
          </w:p>
        </w:tc>
        <w:tc>
          <w:tcPr>
            <w:tcW w:w="5386" w:type="dxa"/>
            <w:vAlign w:val="center"/>
          </w:tcPr>
          <w:p>
            <w:pPr>
              <w:pStyle w:val="单元格样式2"/>
            </w:pPr>
            <w:r>
              <w:t xml:space="preserve">红十字会会员代表大会次数</w:t>
            </w:r>
          </w:p>
        </w:tc>
        <w:tc>
          <w:tcPr>
            <w:tcW w:w="2268" w:type="dxa"/>
            <w:vAlign w:val="center"/>
          </w:tcPr>
          <w:p>
            <w:pPr>
              <w:pStyle w:val="单元格样式2"/>
            </w:pPr>
            <w:r>
              <w:t xml:space="preserve">1次</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红十字会会员代表大会会员参与率</w:t>
            </w:r>
          </w:p>
        </w:tc>
        <w:tc>
          <w:tcPr>
            <w:tcW w:w="5386" w:type="dxa"/>
            <w:vAlign w:val="center"/>
          </w:tcPr>
          <w:p>
            <w:pPr>
              <w:pStyle w:val="单元格样式2"/>
            </w:pPr>
            <w:r>
              <w:t xml:space="preserve">红十字会会员代表大会会员参与率</w:t>
            </w:r>
          </w:p>
        </w:tc>
        <w:tc>
          <w:tcPr>
            <w:tcW w:w="2268" w:type="dxa"/>
            <w:vAlign w:val="center"/>
          </w:tcPr>
          <w:p>
            <w:pPr>
              <w:pStyle w:val="单元格样式2"/>
            </w:pPr>
            <w:r>
              <w:t xml:space="preserve">≥100%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红十字会会员代表大会完成率</w:t>
            </w:r>
          </w:p>
        </w:tc>
        <w:tc>
          <w:tcPr>
            <w:tcW w:w="5386" w:type="dxa"/>
            <w:vAlign w:val="center"/>
          </w:tcPr>
          <w:p>
            <w:pPr>
              <w:pStyle w:val="单元格样式2"/>
            </w:pPr>
            <w:r>
              <w:t xml:space="preserve">红十字会会员代表大会完成率</w:t>
            </w:r>
          </w:p>
        </w:tc>
        <w:tc>
          <w:tcPr>
            <w:tcW w:w="2268" w:type="dxa"/>
            <w:vAlign w:val="center"/>
          </w:tcPr>
          <w:p>
            <w:pPr>
              <w:pStyle w:val="单元格样式2"/>
            </w:pPr>
            <w:r>
              <w:t xml:space="preserve">≥100%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红十字会会员代表大会会议成本</w:t>
            </w:r>
          </w:p>
        </w:tc>
        <w:tc>
          <w:tcPr>
            <w:tcW w:w="5386" w:type="dxa"/>
            <w:vAlign w:val="center"/>
          </w:tcPr>
          <w:p>
            <w:pPr>
              <w:pStyle w:val="单元格样式2"/>
            </w:pPr>
            <w:r>
              <w:t xml:space="preserve">红十字会会员代表大会会议成本</w:t>
            </w:r>
          </w:p>
        </w:tc>
        <w:tc>
          <w:tcPr>
            <w:tcW w:w="2268" w:type="dxa"/>
            <w:vAlign w:val="center"/>
          </w:tcPr>
          <w:p>
            <w:pPr>
              <w:pStyle w:val="单元格样式2"/>
            </w:pPr>
            <w:r>
              <w:t xml:space="preserve">≤1万元</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在全区产生的重要影响，得到广大受众的充分认可</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5、社会救助-应急救护绩效目标表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13011025P00325310022X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社会救助-应急救护</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面向群众开展应急救护知识宣传，提高群众自救互救能力；培训在校学生学生应急救护知识，增强学生应急避险意识，掌握应急救护知识技能；培训救护员、初级救护员等，提高群众意外突发事件应对能力</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1.面向群众开展应急救护知识宣传，提高群众自救互救能力；培训在校学生学生应急救护知识，增强学生应急避险意识，掌握应急救护知识技能；培训救护员、初级救护员等，提高群众意外突发事件应对能力。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应急救护知识普及人数</w:t>
            </w:r>
          </w:p>
        </w:tc>
        <w:tc>
          <w:tcPr>
            <w:tcW w:w="5386" w:type="dxa"/>
            <w:vAlign w:val="center"/>
          </w:tcPr>
          <w:p>
            <w:pPr>
              <w:pStyle w:val="单元格样式2"/>
            </w:pPr>
            <w:r>
              <w:t xml:space="preserve">应急救护知识普及人数</w:t>
            </w:r>
          </w:p>
        </w:tc>
        <w:tc>
          <w:tcPr>
            <w:tcW w:w="2268" w:type="dxa"/>
            <w:vAlign w:val="center"/>
          </w:tcPr>
          <w:p>
            <w:pPr>
              <w:pStyle w:val="单元格样式2"/>
            </w:pPr>
            <w:r>
              <w:t xml:space="preserve">≥4000人次</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培训宣传普及合格率</w:t>
            </w:r>
          </w:p>
        </w:tc>
        <w:tc>
          <w:tcPr>
            <w:tcW w:w="5386" w:type="dxa"/>
            <w:vAlign w:val="center"/>
          </w:tcPr>
          <w:p>
            <w:pPr>
              <w:pStyle w:val="单元格样式2"/>
            </w:pPr>
            <w:r>
              <w:t xml:space="preserve">培训宣传普及合格率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救护宣传成本</w:t>
            </w:r>
          </w:p>
        </w:tc>
        <w:tc>
          <w:tcPr>
            <w:tcW w:w="5386" w:type="dxa"/>
            <w:vAlign w:val="center"/>
          </w:tcPr>
          <w:p>
            <w:pPr>
              <w:pStyle w:val="单元格样式2"/>
            </w:pPr>
            <w:r>
              <w:t xml:space="preserve">应急救护宣传普及成本</w:t>
            </w:r>
          </w:p>
        </w:tc>
        <w:tc>
          <w:tcPr>
            <w:tcW w:w="2268" w:type="dxa"/>
            <w:vAlign w:val="center"/>
          </w:tcPr>
          <w:p>
            <w:pPr>
              <w:pStyle w:val="单元格样式2"/>
            </w:pPr>
            <w:r>
              <w:t xml:space="preserve">≤9万元</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应急救护知识宣传普及知晓率</w:t>
            </w:r>
          </w:p>
        </w:tc>
        <w:tc>
          <w:tcPr>
            <w:tcW w:w="5386" w:type="dxa"/>
            <w:vAlign w:val="center"/>
          </w:tcPr>
          <w:p>
            <w:pPr>
              <w:pStyle w:val="单元格样式2"/>
            </w:pPr>
            <w:r>
              <w:t xml:space="preserve">应急救护知识宣传普及知晓率，得到广大受众的充分认可</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中国红十字会应急救护培训标准化工作手册、中国红十字会总会关于举办第五届全国应急救护大赛的预备通知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《中国红十字会应急救护培训标准化工作手册》。省、市红十字会“十三五”工作规划</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6、社会救助-应急救援绩效目标表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社会救助-应急救援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设立备灾救灾仓库，提高应急救助能力、备灾救灾能力和备灾救灾水平。建立应急救援队伍，配备基本救援装备，完成应急救援各项准备工作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1.设立备灾救灾仓库，提高应急救助能力、备灾救灾能力和备灾救灾水平。建立应急救援队伍，配备基本救援装备，完成应急救援各项准备工作。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租赁备灾仓库面积</w:t>
            </w:r>
          </w:p>
        </w:tc>
        <w:tc>
          <w:tcPr>
            <w:tcW w:w="5386" w:type="dxa"/>
            <w:vAlign w:val="center"/>
          </w:tcPr>
          <w:p>
            <w:pPr>
              <w:pStyle w:val="单元格样式2"/>
            </w:pPr>
            <w:r>
              <w:t xml:space="preserve">租赁备灾仓库面积</w:t>
            </w:r>
          </w:p>
        </w:tc>
        <w:tc>
          <w:tcPr>
            <w:tcW w:w="2268" w:type="dxa"/>
            <w:vAlign w:val="center"/>
          </w:tcPr>
          <w:p>
            <w:pPr>
              <w:pStyle w:val="单元格样式2"/>
            </w:pPr>
            <w:r>
              <w:t xml:space="preserve">≥100平方米</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备灾救灾物资提供率</w:t>
            </w:r>
          </w:p>
        </w:tc>
        <w:tc>
          <w:tcPr>
            <w:tcW w:w="5386" w:type="dxa"/>
            <w:vAlign w:val="center"/>
          </w:tcPr>
          <w:p>
            <w:pPr>
              <w:pStyle w:val="单元格样式2"/>
            </w:pPr>
            <w:r>
              <w:t xml:space="preserve">实际提供数量占采购数量的比例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租赁成本</w:t>
            </w:r>
          </w:p>
        </w:tc>
        <w:tc>
          <w:tcPr>
            <w:tcW w:w="5386" w:type="dxa"/>
            <w:vAlign w:val="center"/>
          </w:tcPr>
          <w:p>
            <w:pPr>
              <w:pStyle w:val="单元格样式2"/>
            </w:pPr>
            <w:r>
              <w:t xml:space="preserve">租赁成本</w:t>
            </w:r>
          </w:p>
        </w:tc>
        <w:tc>
          <w:tcPr>
            <w:tcW w:w="2268" w:type="dxa"/>
            <w:vAlign w:val="center"/>
          </w:tcPr>
          <w:p>
            <w:pPr>
              <w:pStyle w:val="单元格样式2"/>
            </w:pPr>
            <w:r>
              <w:t xml:space="preserve">≤1万元</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招募红十字会应急救护队员人数</w:t>
            </w:r>
          </w:p>
        </w:tc>
        <w:tc>
          <w:tcPr>
            <w:tcW w:w="5386" w:type="dxa"/>
            <w:vAlign w:val="center"/>
          </w:tcPr>
          <w:p>
            <w:pPr>
              <w:pStyle w:val="单元格样式2"/>
            </w:pPr>
            <w:r>
              <w:t xml:space="preserve">招募红十字会应急救护队员人数</w:t>
            </w:r>
          </w:p>
        </w:tc>
        <w:tc>
          <w:tcPr>
            <w:tcW w:w="2268" w:type="dxa"/>
            <w:vAlign w:val="center"/>
          </w:tcPr>
          <w:p>
            <w:pPr>
              <w:pStyle w:val="单元格样式2"/>
            </w:pPr>
            <w:r>
              <w:t xml:space="preserve">≥36人</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招募红十字会应急救护队员数量比例</w:t>
            </w:r>
          </w:p>
        </w:tc>
        <w:tc>
          <w:tcPr>
            <w:tcW w:w="5386" w:type="dxa"/>
            <w:vAlign w:val="center"/>
          </w:tcPr>
          <w:p>
            <w:pPr>
              <w:pStyle w:val="单元格样式2"/>
            </w:pPr>
            <w:r>
              <w:t xml:space="preserve">招募红十字会应急救护队员数量比例</w:t>
            </w:r>
          </w:p>
        </w:tc>
        <w:tc>
          <w:tcPr>
            <w:tcW w:w="2268" w:type="dxa"/>
            <w:vAlign w:val="center"/>
          </w:tcPr>
          <w:p>
            <w:pPr>
              <w:pStyle w:val="单元格样式2"/>
            </w:pPr>
            <w:r>
              <w:t xml:space="preserve">≥90%</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招募红十字会应急救护队员及时率</w:t>
            </w:r>
          </w:p>
        </w:tc>
        <w:tc>
          <w:tcPr>
            <w:tcW w:w="5386" w:type="dxa"/>
            <w:vAlign w:val="center"/>
          </w:tcPr>
          <w:p>
            <w:pPr>
              <w:pStyle w:val="单元格样式2"/>
            </w:pPr>
            <w:r>
              <w:t xml:space="preserve">招募红十字会应急救护队员及时率</w:t>
            </w:r>
          </w:p>
        </w:tc>
        <w:tc>
          <w:tcPr>
            <w:tcW w:w="2268" w:type="dxa"/>
            <w:vAlign w:val="center"/>
          </w:tcPr>
          <w:p>
            <w:pPr>
              <w:pStyle w:val="单元格样式2"/>
            </w:pPr>
            <w:r>
              <w:t xml:space="preserve">≥100%</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组建队伍成本</w:t>
            </w:r>
          </w:p>
        </w:tc>
        <w:tc>
          <w:tcPr>
            <w:tcW w:w="5386" w:type="dxa"/>
            <w:vAlign w:val="center"/>
          </w:tcPr>
          <w:p>
            <w:pPr>
              <w:pStyle w:val="单元格样式2"/>
            </w:pPr>
            <w:r>
              <w:t xml:space="preserve">组建队伍成本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得到广大群众的充分认可</w:t>
            </w:r>
          </w:p>
        </w:tc>
        <w:tc>
          <w:tcPr>
            <w:tcW w:w="2268" w:type="dxa"/>
            <w:vAlign w:val="center"/>
          </w:tcPr>
          <w:p>
            <w:pPr>
              <w:pStyle w:val="单元格样式2"/>
            </w:pPr>
            <w:r>
              <w:t xml:space="preserve">得到广大群众的充分认可</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得到广大群众的充分认可</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出具组建装备合同、发票等、《中国红十字会自然灾害和突发事件救助规则》</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石家庄市鹿泉区红十字会（含所属单位）上年末固定资产金额为1.78万元（详见下表）。本年度拟购置固定资产总额为0.00万元，已按要求列入政府采购预算，详见政府采购预算表。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717石家庄市鹿泉区红十字会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1.78</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21</w:t>
            </w:r>
          </w:p>
        </w:tc>
        <w:tc>
          <w:tcPr>
            <w:tcW w:w="2835" w:type="dxa"/>
            <w:vAlign w:val="center"/>
          </w:tcPr>
          <w:p>
            <w:pPr>
              <w:pStyle w:val="单元格样式4"/>
            </w:pPr>
            <w:r>
              <w:t xml:space="preserve">1.78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42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43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45</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2025-02-07T15:05:22Z</dcterms:created>
  <dcterms:modified xsi:type="dcterms:W3CDTF">2025-02-07T15:05:22Z</dcterms:modified>
</cp:coreProperties>
</file>