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8D1D8A">
      <w:pPr>
        <w:pStyle w:val="2"/>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lang w:eastAsia="zh-CN"/>
        </w:rPr>
      </w:pPr>
      <w:r>
        <w:rPr>
          <w:rFonts w:hint="eastAsia" w:ascii="宋体" w:hAnsi="宋体"/>
          <w:lang w:eastAsia="zh-CN"/>
        </w:rPr>
        <w:t>石家庄市鹿泉区人民代表大会常务委员会</w:t>
      </w:r>
    </w:p>
    <w:p w14:paraId="4EA277B4">
      <w:pPr>
        <w:pStyle w:val="2"/>
        <w:keepNext/>
        <w:keepLines/>
        <w:pageBreakBefore w:val="0"/>
        <w:widowControl w:val="0"/>
        <w:kinsoku/>
        <w:wordWrap/>
        <w:overflowPunct/>
        <w:topLinePunct w:val="0"/>
        <w:autoSpaceDE/>
        <w:autoSpaceDN/>
        <w:bidi w:val="0"/>
        <w:adjustRightInd/>
        <w:snapToGrid/>
        <w:spacing w:before="0" w:beforeLines="0" w:after="0" w:afterLines="0" w:line="578" w:lineRule="exact"/>
        <w:jc w:val="center"/>
        <w:textAlignment w:val="auto"/>
        <w:rPr>
          <w:rFonts w:hint="eastAsia" w:ascii="宋体" w:hAnsi="宋体" w:eastAsia="仿宋_GB2312" w:cs="仿宋_GB2312"/>
          <w:sz w:val="32"/>
          <w:szCs w:val="32"/>
          <w:lang w:eastAsia="zh-CN"/>
        </w:rPr>
      </w:pPr>
      <w:r>
        <w:rPr>
          <w:rFonts w:hint="eastAsia" w:ascii="宋体" w:hAnsi="宋体"/>
          <w:lang w:val="en-US" w:eastAsia="zh-CN"/>
        </w:rPr>
        <w:t>2023年度</w:t>
      </w:r>
      <w:r>
        <w:rPr>
          <w:rFonts w:hint="eastAsia" w:ascii="宋体" w:hAnsi="宋体"/>
          <w:lang w:eastAsia="zh-CN"/>
        </w:rPr>
        <w:t>整体支出绩效自评报告</w:t>
      </w:r>
    </w:p>
    <w:p w14:paraId="38CD4648">
      <w:pPr>
        <w:pageBreakBefore w:val="0"/>
        <w:widowControl w:val="0"/>
        <w:kinsoku/>
        <w:wordWrap/>
        <w:overflowPunct/>
        <w:topLinePunct w:val="0"/>
        <w:autoSpaceDE/>
        <w:autoSpaceDN/>
        <w:bidi w:val="0"/>
        <w:adjustRightInd/>
        <w:snapToGrid/>
        <w:spacing w:line="550" w:lineRule="exact"/>
        <w:ind w:leftChars="0" w:firstLine="640" w:firstLineChars="200"/>
        <w:textAlignment w:val="auto"/>
        <w:rPr>
          <w:rFonts w:hint="eastAsia" w:ascii="宋体" w:hAnsi="宋体" w:eastAsia="仿宋_GB2312" w:cs="仿宋_GB2312"/>
          <w:sz w:val="32"/>
          <w:szCs w:val="32"/>
          <w:lang w:eastAsia="zh-CN"/>
        </w:rPr>
      </w:pPr>
    </w:p>
    <w:p w14:paraId="35ACC679">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w:t>
      </w:r>
      <w:r>
        <w:rPr>
          <w:rFonts w:hint="eastAsia" w:ascii="宋体" w:hAnsi="宋体" w:eastAsia="仿宋_GB2312" w:cs="仿宋_GB2312"/>
          <w:sz w:val="32"/>
          <w:szCs w:val="32"/>
          <w:lang w:eastAsia="zh-CN"/>
        </w:rPr>
        <w:t>，遵循“科学性、规范性、客观性和公正性”的原则，对石家庄市鹿泉区人民代表大会常务委员会</w:t>
      </w:r>
      <w:r>
        <w:rPr>
          <w:rFonts w:hint="eastAsia" w:ascii="宋体" w:hAnsi="宋体" w:eastAsia="仿宋_GB2312" w:cs="仿宋_GB2312"/>
          <w:sz w:val="32"/>
          <w:szCs w:val="32"/>
          <w:lang w:val="en-US" w:eastAsia="zh-CN"/>
        </w:rPr>
        <w:t>2023年</w:t>
      </w:r>
      <w:r>
        <w:rPr>
          <w:rFonts w:hint="eastAsia" w:ascii="宋体" w:hAnsi="宋体" w:eastAsia="仿宋_GB2312" w:cs="仿宋_GB2312"/>
          <w:sz w:val="32"/>
          <w:szCs w:val="32"/>
          <w:lang w:eastAsia="zh-CN"/>
        </w:rPr>
        <w:t>整体支出情况实施了财政支出绩效自评价，形成本评价报告。</w:t>
      </w:r>
      <w:r>
        <w:rPr>
          <w:rFonts w:hint="eastAsia" w:ascii="仿宋" w:hAnsi="仿宋" w:eastAsia="仿宋"/>
          <w:sz w:val="32"/>
          <w:szCs w:val="32"/>
        </w:rPr>
        <w:t xml:space="preserve">  </w:t>
      </w:r>
    </w:p>
    <w:p w14:paraId="30F49589">
      <w:pPr>
        <w:widowControl w:val="0"/>
        <w:wordWrap/>
        <w:adjustRightInd w:val="0"/>
        <w:snapToGrid w:val="0"/>
        <w:spacing w:line="560" w:lineRule="exact"/>
        <w:ind w:left="0" w:leftChars="0" w:right="0" w:firstLine="640" w:firstLineChars="200"/>
        <w:textAlignment w:val="auto"/>
        <w:outlineLvl w:val="9"/>
        <w:rPr>
          <w:rFonts w:ascii="黑体" w:hAnsi="黑体" w:eastAsia="黑体"/>
          <w:b/>
          <w:bCs/>
          <w:sz w:val="32"/>
          <w:szCs w:val="36"/>
        </w:rPr>
      </w:pP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14:paraId="39BB8F20">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14:paraId="21265E3C">
      <w:pPr>
        <w:widowControl w:val="0"/>
        <w:wordWrap/>
        <w:adjustRightInd w:val="0"/>
        <w:snapToGrid w:val="0"/>
        <w:spacing w:line="560" w:lineRule="exact"/>
        <w:ind w:left="0" w:leftChars="0" w:right="0" w:firstLine="640" w:firstLineChars="200"/>
        <w:textAlignment w:val="auto"/>
        <w:outlineLvl w:val="9"/>
        <w:rPr>
          <w:rFonts w:hint="eastAsia" w:ascii="黑体" w:eastAsia="黑体" w:cs="黑体"/>
          <w:b w:val="0"/>
          <w:bCs w:val="0"/>
          <w:kern w:val="0"/>
          <w:sz w:val="32"/>
          <w:szCs w:val="32"/>
          <w:lang w:eastAsia="zh-CN"/>
        </w:rPr>
      </w:pPr>
      <w:r>
        <w:rPr>
          <w:rFonts w:hint="eastAsia" w:ascii="黑体" w:eastAsia="黑体" w:cs="黑体"/>
          <w:b w:val="0"/>
          <w:bCs w:val="0"/>
          <w:kern w:val="0"/>
          <w:sz w:val="32"/>
          <w:szCs w:val="32"/>
          <w:lang w:eastAsia="zh-CN"/>
        </w:rPr>
        <w:t>部门</w:t>
      </w:r>
      <w:r>
        <w:rPr>
          <w:rFonts w:hint="eastAsia" w:ascii="黑体" w:eastAsia="黑体" w:cs="黑体"/>
          <w:b w:val="0"/>
          <w:bCs w:val="0"/>
          <w:kern w:val="0"/>
          <w:sz w:val="32"/>
          <w:szCs w:val="32"/>
        </w:rPr>
        <w:t>职</w:t>
      </w:r>
      <w:r>
        <w:rPr>
          <w:rFonts w:hint="eastAsia" w:ascii="黑体" w:eastAsia="黑体" w:cs="黑体"/>
          <w:b w:val="0"/>
          <w:bCs w:val="0"/>
          <w:kern w:val="0"/>
          <w:sz w:val="32"/>
          <w:szCs w:val="32"/>
          <w:lang w:eastAsia="zh-CN"/>
        </w:rPr>
        <w:t>能</w:t>
      </w:r>
    </w:p>
    <w:p w14:paraId="45C7502E">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1.</w:t>
      </w:r>
      <w:r>
        <w:rPr>
          <w:rFonts w:hint="eastAsia" w:ascii="楷体" w:hAnsi="楷体" w:eastAsia="楷体" w:cs="楷体"/>
          <w:sz w:val="32"/>
          <w:szCs w:val="32"/>
        </w:rPr>
        <w:t>人大监督</w:t>
      </w:r>
    </w:p>
    <w:p w14:paraId="641ED715">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监督</w:t>
      </w:r>
      <w:r>
        <w:rPr>
          <w:rFonts w:hint="eastAsia" w:ascii="仿宋_GB2312" w:eastAsia="仿宋_GB2312"/>
          <w:sz w:val="32"/>
          <w:szCs w:val="32"/>
          <w:lang w:eastAsia="zh-CN"/>
        </w:rPr>
        <w:t>中华人民共和国宪法</w:t>
      </w:r>
      <w:r>
        <w:rPr>
          <w:rFonts w:hint="eastAsia" w:ascii="仿宋_GB2312" w:eastAsia="仿宋_GB2312"/>
          <w:sz w:val="32"/>
          <w:szCs w:val="32"/>
        </w:rPr>
        <w:t>和法律在我区行政区域内正确实施。</w:t>
      </w:r>
    </w:p>
    <w:p w14:paraId="5B81C836">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监督一府两院依法开展工作。</w:t>
      </w:r>
    </w:p>
    <w:p w14:paraId="1E991547">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）监督区本级预算按照区人民代表大会通过的预算有效</w:t>
      </w:r>
      <w:r>
        <w:rPr>
          <w:rFonts w:hint="eastAsia" w:ascii="仿宋_GB2312" w:eastAsia="仿宋_GB2312"/>
          <w:sz w:val="32"/>
          <w:szCs w:val="32"/>
        </w:rPr>
        <w:t>实施。</w:t>
      </w:r>
    </w:p>
    <w:p w14:paraId="2C774AC7">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监督经济和社会发展计划有效实施。</w:t>
      </w:r>
    </w:p>
    <w:p w14:paraId="58CBB319">
      <w:pPr>
        <w:ind w:firstLine="640" w:firstLineChars="200"/>
        <w:rPr>
          <w:rFonts w:hint="eastAsia" w:ascii="楷体" w:hAnsi="楷体" w:eastAsia="楷体" w:cs="楷体"/>
          <w:sz w:val="32"/>
          <w:szCs w:val="32"/>
        </w:rPr>
      </w:pPr>
      <w:r>
        <w:rPr>
          <w:rFonts w:hint="eastAsia" w:ascii="楷体" w:hAnsi="楷体" w:eastAsia="楷体" w:cs="楷体"/>
          <w:sz w:val="32"/>
          <w:szCs w:val="32"/>
          <w:lang w:val="en-US" w:eastAsia="zh-CN"/>
        </w:rPr>
        <w:t>2.</w:t>
      </w:r>
      <w:r>
        <w:rPr>
          <w:rFonts w:hint="eastAsia" w:ascii="楷体" w:hAnsi="楷体" w:eastAsia="楷体" w:cs="楷体"/>
          <w:sz w:val="32"/>
          <w:szCs w:val="32"/>
        </w:rPr>
        <w:t>人大会议</w:t>
      </w:r>
    </w:p>
    <w:p w14:paraId="1D2023BD">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w:t>
      </w:r>
    </w:p>
    <w:p w14:paraId="7A856DAD">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通过听取和审议一府两院等工作报告，作出有关报告的决议。</w:t>
      </w:r>
    </w:p>
    <w:p w14:paraId="6DBA7D64">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通过质询、专题询问和工作评议的方式就一府两院的工作进行监督。</w:t>
      </w:r>
    </w:p>
    <w:p w14:paraId="5010E3CF">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4</w:t>
      </w:r>
      <w:r>
        <w:rPr>
          <w:rFonts w:hint="eastAsia" w:ascii="仿宋_GB2312" w:eastAsia="仿宋_GB2312"/>
          <w:sz w:val="32"/>
          <w:szCs w:val="32"/>
          <w:lang w:eastAsia="zh-CN"/>
        </w:rPr>
        <w:t>）</w:t>
      </w:r>
      <w:r>
        <w:rPr>
          <w:rFonts w:hint="eastAsia" w:ascii="仿宋_GB2312" w:eastAsia="仿宋_GB2312"/>
          <w:sz w:val="32"/>
          <w:szCs w:val="32"/>
        </w:rPr>
        <w:t>为保证我区重大决策的科学性和法定性，实施作出有关我区重大问题的决定。</w:t>
      </w:r>
    </w:p>
    <w:p w14:paraId="78404B4F">
      <w:pPr>
        <w:keepNext w:val="0"/>
        <w:keepLines w:val="0"/>
        <w:pageBreakBefore w:val="0"/>
        <w:widowControl w:val="0"/>
        <w:numPr>
          <w:ilvl w:val="0"/>
          <w:numId w:val="0"/>
        </w:numPr>
        <w:kinsoku/>
        <w:wordWrap/>
        <w:overflowPunct/>
        <w:topLinePunct w:val="0"/>
        <w:autoSpaceDE/>
        <w:autoSpaceDN/>
        <w:bidi w:val="0"/>
        <w:adjustRightInd/>
        <w:snapToGrid/>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lang w:eastAsia="zh-CN"/>
        </w:rPr>
        <w:t>（</w:t>
      </w:r>
      <w:r>
        <w:rPr>
          <w:rFonts w:hint="eastAsia" w:ascii="仿宋_GB2312" w:eastAsia="仿宋_GB2312"/>
          <w:sz w:val="32"/>
          <w:szCs w:val="32"/>
          <w:lang w:val="en-US" w:eastAsia="zh-CN"/>
        </w:rPr>
        <w:t>5</w:t>
      </w:r>
      <w:r>
        <w:rPr>
          <w:rFonts w:hint="eastAsia" w:ascii="仿宋_GB2312" w:eastAsia="仿宋_GB2312"/>
          <w:sz w:val="32"/>
          <w:szCs w:val="32"/>
          <w:lang w:eastAsia="zh-CN"/>
        </w:rPr>
        <w:t>）</w:t>
      </w:r>
      <w:r>
        <w:rPr>
          <w:rFonts w:hint="eastAsia" w:ascii="仿宋_GB2312" w:eastAsia="仿宋_GB2312"/>
          <w:sz w:val="32"/>
          <w:szCs w:val="32"/>
        </w:rPr>
        <w:t>高效、精细的筹备区</w:t>
      </w:r>
      <w:r>
        <w:rPr>
          <w:rFonts w:hint="eastAsia" w:ascii="仿宋_GB2312" w:eastAsia="仿宋_GB2312"/>
          <w:sz w:val="32"/>
          <w:szCs w:val="32"/>
          <w:lang w:eastAsia="zh-CN"/>
        </w:rPr>
        <w:t>人民代表大会。</w:t>
      </w:r>
    </w:p>
    <w:p w14:paraId="59403B88">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3.</w:t>
      </w:r>
      <w:r>
        <w:rPr>
          <w:rFonts w:hint="eastAsia" w:ascii="楷体" w:hAnsi="楷体" w:eastAsia="楷体" w:cs="楷体"/>
          <w:sz w:val="32"/>
          <w:szCs w:val="32"/>
        </w:rPr>
        <w:t>选举和任免</w:t>
      </w:r>
    </w:p>
    <w:p w14:paraId="282BDE7D">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1</w:t>
      </w:r>
      <w:r>
        <w:rPr>
          <w:rFonts w:hint="eastAsia" w:ascii="仿宋_GB2312" w:eastAsia="仿宋_GB2312"/>
          <w:sz w:val="32"/>
          <w:szCs w:val="32"/>
          <w:lang w:eastAsia="zh-CN"/>
        </w:rPr>
        <w:t>）</w:t>
      </w:r>
      <w:r>
        <w:rPr>
          <w:rFonts w:hint="eastAsia" w:ascii="仿宋_GB2312" w:eastAsia="仿宋_GB2312"/>
          <w:sz w:val="32"/>
          <w:szCs w:val="32"/>
        </w:rPr>
        <w:t>根据一府两院的工作需要和区委的建议，在充分酝酿和审议的基础上，选举产生一府两院的领导成员，确保选出能力突出、责任心强的同志担任一府两院的领导同志。</w:t>
      </w:r>
    </w:p>
    <w:p w14:paraId="2A22153D">
      <w:pPr>
        <w:ind w:firstLine="560"/>
        <w:rPr>
          <w:rFonts w:hint="eastAsia"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2</w:t>
      </w:r>
      <w:r>
        <w:rPr>
          <w:rFonts w:hint="eastAsia" w:ascii="仿宋_GB2312" w:eastAsia="仿宋_GB2312"/>
          <w:sz w:val="32"/>
          <w:szCs w:val="32"/>
          <w:lang w:eastAsia="zh-CN"/>
        </w:rPr>
        <w:t>）</w:t>
      </w:r>
      <w:r>
        <w:rPr>
          <w:rFonts w:hint="eastAsia" w:ascii="仿宋_GB2312" w:eastAsia="仿宋_GB2312"/>
          <w:sz w:val="32"/>
          <w:szCs w:val="32"/>
        </w:rPr>
        <w:t>为确保有关选举的法律法规符合实际，在充分考察调研的基础上，实施对其进行修改。</w:t>
      </w:r>
    </w:p>
    <w:p w14:paraId="1894E6CD">
      <w:pPr>
        <w:ind w:firstLine="560"/>
        <w:rPr>
          <w:rFonts w:ascii="仿宋_GB2312" w:eastAsia="仿宋_GB2312"/>
          <w:sz w:val="32"/>
          <w:szCs w:val="32"/>
        </w:rPr>
      </w:pPr>
      <w:r>
        <w:rPr>
          <w:rFonts w:hint="eastAsia" w:ascii="仿宋_GB2312" w:eastAsia="仿宋_GB2312"/>
          <w:sz w:val="32"/>
          <w:szCs w:val="32"/>
          <w:lang w:eastAsia="zh-CN"/>
        </w:rPr>
        <w:t>（</w:t>
      </w:r>
      <w:r>
        <w:rPr>
          <w:rFonts w:hint="eastAsia" w:ascii="仿宋_GB2312" w:eastAsia="仿宋_GB2312"/>
          <w:sz w:val="32"/>
          <w:szCs w:val="32"/>
          <w:lang w:val="en-US" w:eastAsia="zh-CN"/>
        </w:rPr>
        <w:t>3</w:t>
      </w:r>
      <w:r>
        <w:rPr>
          <w:rFonts w:hint="eastAsia" w:ascii="仿宋_GB2312" w:eastAsia="仿宋_GB2312"/>
          <w:sz w:val="32"/>
          <w:szCs w:val="32"/>
          <w:lang w:eastAsia="zh-CN"/>
        </w:rPr>
        <w:t>）</w:t>
      </w:r>
      <w:r>
        <w:rPr>
          <w:rFonts w:hint="eastAsia" w:ascii="仿宋_GB2312" w:eastAsia="仿宋_GB2312"/>
          <w:sz w:val="32"/>
          <w:szCs w:val="32"/>
        </w:rPr>
        <w:t>对区政府组成人员和区人民法院、区人民检察院主要负责人进行目标责任监督，确保依法履行职责，完成目标任务。</w:t>
      </w:r>
    </w:p>
    <w:p w14:paraId="47D8AA0F">
      <w:pPr>
        <w:ind w:firstLine="560"/>
        <w:rPr>
          <w:rFonts w:hint="eastAsia" w:ascii="楷体" w:hAnsi="楷体" w:eastAsia="楷体" w:cs="楷体"/>
          <w:sz w:val="32"/>
          <w:szCs w:val="32"/>
        </w:rPr>
      </w:pPr>
      <w:r>
        <w:rPr>
          <w:rFonts w:hint="eastAsia" w:ascii="楷体" w:hAnsi="楷体" w:eastAsia="楷体" w:cs="楷体"/>
          <w:sz w:val="32"/>
          <w:szCs w:val="32"/>
          <w:lang w:val="en-US" w:eastAsia="zh-CN"/>
        </w:rPr>
        <w:t>4.</w:t>
      </w:r>
      <w:r>
        <w:rPr>
          <w:rFonts w:hint="eastAsia" w:ascii="楷体" w:hAnsi="楷体" w:eastAsia="楷体" w:cs="楷体"/>
          <w:sz w:val="32"/>
          <w:szCs w:val="32"/>
        </w:rPr>
        <w:t>人大事务管理</w:t>
      </w:r>
    </w:p>
    <w:p w14:paraId="59D51D3B">
      <w:pPr>
        <w:autoSpaceDE w:val="0"/>
        <w:autoSpaceDN w:val="0"/>
        <w:adjustRightInd w:val="0"/>
        <w:spacing w:line="360" w:lineRule="auto"/>
        <w:ind w:right="198" w:firstLine="640" w:firstLineChars="200"/>
        <w:rPr>
          <w:rFonts w:hint="eastAsia" w:ascii="仿宋_GB2312" w:eastAsia="仿宋_GB2312"/>
          <w:sz w:val="32"/>
          <w:szCs w:val="32"/>
          <w:lang w:eastAsia="zh-CN"/>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39E46062">
      <w:pPr>
        <w:keepNext/>
        <w:keepLines/>
        <w:spacing w:line="580" w:lineRule="exact"/>
        <w:ind w:firstLine="640" w:firstLineChars="200"/>
        <w:jc w:val="left"/>
        <w:outlineLvl w:val="0"/>
        <w:rPr>
          <w:rFonts w:ascii="黑体" w:eastAsia="黑体" w:cs="Times New Roman"/>
          <w:kern w:val="0"/>
          <w:sz w:val="32"/>
          <w:szCs w:val="32"/>
        </w:rPr>
      </w:pPr>
      <w:r>
        <w:rPr>
          <w:rFonts w:hint="eastAsia" w:ascii="黑体" w:eastAsia="黑体" w:cs="黑体"/>
          <w:kern w:val="0"/>
          <w:sz w:val="32"/>
          <w:szCs w:val="32"/>
        </w:rPr>
        <w:t>机构设置</w:t>
      </w:r>
    </w:p>
    <w:p w14:paraId="56C31B68">
      <w:pPr>
        <w:spacing w:line="58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从决算编报</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构成看，纳</w:t>
      </w:r>
      <w:r>
        <w:rPr>
          <w:rFonts w:hint="eastAsia" w:ascii="仿宋_GB2312" w:eastAsia="仿宋_GB2312" w:cs="仿宋_GB2312"/>
          <w:kern w:val="0"/>
          <w:sz w:val="32"/>
          <w:szCs w:val="32"/>
          <w:highlight w:val="none"/>
        </w:rPr>
        <w:t>入</w:t>
      </w:r>
      <w:r>
        <w:rPr>
          <w:rFonts w:ascii="仿宋_GB2312" w:eastAsia="仿宋_GB2312" w:cs="仿宋_GB2312"/>
          <w:kern w:val="0"/>
          <w:sz w:val="32"/>
          <w:szCs w:val="32"/>
          <w:highlight w:val="none"/>
        </w:rPr>
        <w:t>202</w:t>
      </w:r>
      <w:r>
        <w:rPr>
          <w:rFonts w:hint="eastAsia" w:ascii="仿宋_GB2312" w:eastAsia="仿宋_GB2312" w:cs="仿宋_GB2312"/>
          <w:kern w:val="0"/>
          <w:sz w:val="32"/>
          <w:szCs w:val="32"/>
          <w:highlight w:val="none"/>
          <w:lang w:val="en-US" w:eastAsia="zh-CN"/>
        </w:rPr>
        <w:t>3</w:t>
      </w:r>
      <w:r>
        <w:rPr>
          <w:rFonts w:hint="eastAsia" w:ascii="仿宋_GB2312" w:eastAsia="仿宋_GB2312" w:cs="仿宋_GB2312"/>
          <w:kern w:val="0"/>
          <w:sz w:val="32"/>
          <w:szCs w:val="32"/>
          <w:highlight w:val="none"/>
        </w:rPr>
        <w:t>年度本</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决算汇编范围的独立核算</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（以下简称“</w:t>
      </w:r>
      <w:r>
        <w:rPr>
          <w:rFonts w:hint="eastAsia" w:ascii="仿宋_GB2312" w:eastAsia="仿宋_GB2312" w:cs="仿宋_GB2312"/>
          <w:kern w:val="0"/>
          <w:sz w:val="32"/>
          <w:szCs w:val="32"/>
          <w:lang w:eastAsia="zh-CN"/>
        </w:rPr>
        <w:t>部门</w:t>
      </w:r>
      <w:r>
        <w:rPr>
          <w:rFonts w:hint="eastAsia" w:ascii="仿宋_GB2312" w:eastAsia="仿宋_GB2312" w:cs="仿宋_GB2312"/>
          <w:kern w:val="0"/>
          <w:sz w:val="32"/>
          <w:szCs w:val="32"/>
        </w:rPr>
        <w:t>”）共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个，我部门无二级预算单位，因此，</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年度部门决算即</w:t>
      </w:r>
      <w:r>
        <w:rPr>
          <w:rFonts w:hint="eastAsia" w:ascii="仿宋_GB2312" w:eastAsia="仿宋_GB2312" w:cs="仿宋_GB2312"/>
          <w:kern w:val="0"/>
          <w:sz w:val="32"/>
          <w:szCs w:val="32"/>
          <w:lang w:eastAsia="zh-CN"/>
        </w:rPr>
        <w:t>石家庄市鹿泉区人民代表大会常务委员会</w:t>
      </w:r>
      <w:r>
        <w:rPr>
          <w:rFonts w:hint="eastAsia" w:ascii="仿宋_GB2312" w:eastAsia="仿宋_GB2312" w:cs="仿宋_GB2312"/>
          <w:kern w:val="0"/>
          <w:sz w:val="32"/>
          <w:szCs w:val="32"/>
        </w:rPr>
        <w:t>本级202</w:t>
      </w:r>
      <w:r>
        <w:rPr>
          <w:rFonts w:hint="eastAsia" w:ascii="仿宋_GB2312" w:eastAsia="仿宋_GB2312" w:cs="仿宋_GB2312"/>
          <w:kern w:val="0"/>
          <w:sz w:val="32"/>
          <w:szCs w:val="32"/>
          <w:lang w:val="en-US" w:eastAsia="zh-CN"/>
        </w:rPr>
        <w:t>3</w:t>
      </w:r>
      <w:r>
        <w:rPr>
          <w:rFonts w:hint="eastAsia" w:ascii="仿宋_GB2312" w:eastAsia="仿宋_GB2312" w:cs="仿宋_GB2312"/>
          <w:kern w:val="0"/>
          <w:sz w:val="32"/>
          <w:szCs w:val="32"/>
        </w:rPr>
        <w:t>年度决算。具体情况如下：</w:t>
      </w:r>
    </w:p>
    <w:p w14:paraId="0663F5A1">
      <w:pPr>
        <w:spacing w:line="580" w:lineRule="exact"/>
        <w:ind w:firstLine="640" w:firstLineChars="200"/>
        <w:rPr>
          <w:rFonts w:hint="eastAsia" w:ascii="仿宋_GB2312" w:eastAsia="仿宋_GB2312" w:cs="仿宋_GB2312"/>
          <w:kern w:val="0"/>
          <w:sz w:val="32"/>
          <w:szCs w:val="32"/>
        </w:rPr>
      </w:pPr>
    </w:p>
    <w:tbl>
      <w:tblPr>
        <w:tblStyle w:val="9"/>
        <w:tblpPr w:leftFromText="180" w:rightFromText="180" w:vertAnchor="text" w:horzAnchor="page" w:tblpXSpec="center" w:tblpY="10"/>
        <w:tblOverlap w:val="never"/>
        <w:tblW w:w="96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1"/>
        <w:gridCol w:w="3506"/>
        <w:gridCol w:w="2460"/>
        <w:gridCol w:w="2681"/>
      </w:tblGrid>
      <w:tr w14:paraId="7F732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jc w:val="center"/>
        </w:trPr>
        <w:tc>
          <w:tcPr>
            <w:tcW w:w="991" w:type="dxa"/>
            <w:vAlign w:val="center"/>
          </w:tcPr>
          <w:p w14:paraId="48DE33FC">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rPr>
              <w:t>序号</w:t>
            </w:r>
          </w:p>
        </w:tc>
        <w:tc>
          <w:tcPr>
            <w:tcW w:w="3506" w:type="dxa"/>
            <w:vAlign w:val="center"/>
          </w:tcPr>
          <w:p w14:paraId="388C84F8">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lang w:eastAsia="zh-CN"/>
              </w:rPr>
              <w:t>部门</w:t>
            </w:r>
            <w:r>
              <w:rPr>
                <w:rFonts w:hint="eastAsia" w:ascii="仿宋_GB2312" w:eastAsia="仿宋_GB2312" w:cs="仿宋_GB2312"/>
                <w:b/>
                <w:bCs/>
                <w:kern w:val="0"/>
                <w:sz w:val="28"/>
                <w:szCs w:val="28"/>
                <w:highlight w:val="none"/>
                <w:shd w:val="clear" w:color="auto" w:fill="auto"/>
              </w:rPr>
              <w:t>名称</w:t>
            </w:r>
          </w:p>
        </w:tc>
        <w:tc>
          <w:tcPr>
            <w:tcW w:w="2460" w:type="dxa"/>
            <w:vAlign w:val="center"/>
          </w:tcPr>
          <w:p w14:paraId="197C80EA">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lang w:eastAsia="zh-CN"/>
              </w:rPr>
              <w:t>部门</w:t>
            </w:r>
            <w:r>
              <w:rPr>
                <w:rFonts w:hint="eastAsia" w:ascii="仿宋_GB2312" w:eastAsia="仿宋_GB2312" w:cs="仿宋_GB2312"/>
                <w:b/>
                <w:bCs/>
                <w:kern w:val="0"/>
                <w:sz w:val="28"/>
                <w:szCs w:val="28"/>
                <w:highlight w:val="none"/>
                <w:shd w:val="clear" w:color="auto" w:fill="auto"/>
              </w:rPr>
              <w:t>基本性质</w:t>
            </w:r>
          </w:p>
        </w:tc>
        <w:tc>
          <w:tcPr>
            <w:tcW w:w="2681" w:type="dxa"/>
            <w:vAlign w:val="center"/>
          </w:tcPr>
          <w:p w14:paraId="6F92FFFB">
            <w:pPr>
              <w:spacing w:line="560" w:lineRule="exact"/>
              <w:jc w:val="center"/>
              <w:rPr>
                <w:rFonts w:ascii="仿宋_GB2312" w:eastAsia="仿宋_GB2312" w:cs="Times New Roman"/>
                <w:b/>
                <w:bCs/>
                <w:kern w:val="0"/>
                <w:sz w:val="28"/>
                <w:szCs w:val="28"/>
                <w:highlight w:val="none"/>
                <w:shd w:val="clear" w:color="auto" w:fill="auto"/>
              </w:rPr>
            </w:pPr>
            <w:r>
              <w:rPr>
                <w:rFonts w:hint="eastAsia" w:ascii="仿宋_GB2312" w:eastAsia="仿宋_GB2312" w:cs="仿宋_GB2312"/>
                <w:b/>
                <w:bCs/>
                <w:kern w:val="0"/>
                <w:sz w:val="28"/>
                <w:szCs w:val="28"/>
                <w:highlight w:val="none"/>
                <w:shd w:val="clear" w:color="auto" w:fill="auto"/>
              </w:rPr>
              <w:t>经费形式</w:t>
            </w:r>
          </w:p>
        </w:tc>
      </w:tr>
      <w:tr w14:paraId="60067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2" w:hRule="atLeast"/>
          <w:jc w:val="center"/>
        </w:trPr>
        <w:tc>
          <w:tcPr>
            <w:tcW w:w="991" w:type="dxa"/>
            <w:vAlign w:val="center"/>
          </w:tcPr>
          <w:p w14:paraId="4392299C">
            <w:pPr>
              <w:spacing w:line="560" w:lineRule="exact"/>
              <w:jc w:val="center"/>
              <w:rPr>
                <w:rFonts w:ascii="仿宋_GB2312" w:eastAsia="仿宋_GB2312" w:cs="仿宋_GB2312"/>
                <w:kern w:val="0"/>
                <w:sz w:val="28"/>
                <w:szCs w:val="28"/>
                <w:highlight w:val="none"/>
                <w:shd w:val="clear" w:color="auto" w:fill="auto"/>
              </w:rPr>
            </w:pPr>
            <w:r>
              <w:rPr>
                <w:rFonts w:hint="eastAsia" w:ascii="宋体" w:hAnsi="宋体" w:eastAsia="宋体" w:cs="宋体"/>
                <w:kern w:val="0"/>
                <w:sz w:val="28"/>
                <w:szCs w:val="28"/>
                <w:highlight w:val="none"/>
                <w:shd w:val="clear" w:color="auto" w:fill="auto"/>
              </w:rPr>
              <w:t>1</w:t>
            </w:r>
          </w:p>
        </w:tc>
        <w:tc>
          <w:tcPr>
            <w:tcW w:w="3506" w:type="dxa"/>
            <w:vAlign w:val="center"/>
          </w:tcPr>
          <w:p w14:paraId="6E98ED59">
            <w:pPr>
              <w:spacing w:line="600" w:lineRule="auto"/>
              <w:jc w:val="center"/>
              <w:rPr>
                <w:rFonts w:hint="eastAsia" w:ascii="仿宋_GB2312" w:eastAsia="仿宋_GB2312" w:cs="仿宋_GB2312"/>
                <w:kern w:val="0"/>
                <w:sz w:val="28"/>
                <w:szCs w:val="28"/>
                <w:highlight w:val="none"/>
                <w:shd w:val="clear" w:color="auto" w:fill="auto"/>
                <w:lang w:eastAsia="zh-CN"/>
              </w:rPr>
            </w:pPr>
            <w:r>
              <w:rPr>
                <w:rFonts w:hint="eastAsia" w:ascii="仿宋_GB2312" w:hAnsi="仿宋_GB2312" w:eastAsia="仿宋_GB2312" w:cs="仿宋_GB2312"/>
                <w:color w:val="000000"/>
                <w:sz w:val="30"/>
                <w:szCs w:val="30"/>
                <w:highlight w:val="none"/>
                <w:shd w:val="clear" w:color="auto" w:fill="auto"/>
                <w:lang w:eastAsia="zh-CN"/>
              </w:rPr>
              <w:t>石家庄市鹿泉区人民代表大会常务委员会</w:t>
            </w:r>
          </w:p>
        </w:tc>
        <w:tc>
          <w:tcPr>
            <w:tcW w:w="2460" w:type="dxa"/>
            <w:vAlign w:val="center"/>
          </w:tcPr>
          <w:p w14:paraId="58917CF5">
            <w:pPr>
              <w:spacing w:line="560" w:lineRule="exact"/>
              <w:jc w:val="center"/>
              <w:rPr>
                <w:rFonts w:hint="eastAsia" w:ascii="仿宋_GB2312" w:eastAsia="仿宋_GB2312" w:cs="Times New Roman"/>
                <w:kern w:val="0"/>
                <w:sz w:val="28"/>
                <w:szCs w:val="28"/>
                <w:highlight w:val="none"/>
                <w:shd w:val="clear" w:color="auto" w:fill="auto"/>
                <w:lang w:eastAsia="zh-CN"/>
              </w:rPr>
            </w:pPr>
            <w:r>
              <w:rPr>
                <w:rFonts w:hint="eastAsia" w:ascii="仿宋_GB2312" w:eastAsia="仿宋_GB2312" w:cs="仿宋_GB2312"/>
                <w:kern w:val="0"/>
                <w:sz w:val="28"/>
                <w:szCs w:val="28"/>
                <w:highlight w:val="none"/>
                <w:shd w:val="clear" w:color="auto" w:fill="auto"/>
              </w:rPr>
              <w:t>行政</w:t>
            </w:r>
            <w:r>
              <w:rPr>
                <w:rFonts w:hint="eastAsia" w:ascii="仿宋_GB2312" w:eastAsia="仿宋_GB2312" w:cs="仿宋_GB2312"/>
                <w:kern w:val="0"/>
                <w:sz w:val="28"/>
                <w:szCs w:val="28"/>
                <w:highlight w:val="none"/>
                <w:shd w:val="clear" w:color="auto" w:fill="auto"/>
                <w:lang w:eastAsia="zh-CN"/>
              </w:rPr>
              <w:t>单位</w:t>
            </w:r>
          </w:p>
        </w:tc>
        <w:tc>
          <w:tcPr>
            <w:tcW w:w="2681" w:type="dxa"/>
            <w:vAlign w:val="center"/>
          </w:tcPr>
          <w:p w14:paraId="3280C064">
            <w:pPr>
              <w:spacing w:line="560" w:lineRule="exact"/>
              <w:jc w:val="center"/>
              <w:rPr>
                <w:rFonts w:hint="eastAsia" w:ascii="仿宋_GB2312" w:eastAsia="仿宋_GB2312" w:cs="Times New Roman"/>
                <w:kern w:val="0"/>
                <w:sz w:val="28"/>
                <w:szCs w:val="28"/>
                <w:highlight w:val="none"/>
                <w:shd w:val="clear" w:color="auto" w:fill="auto"/>
                <w:lang w:eastAsia="zh-CN"/>
              </w:rPr>
            </w:pPr>
            <w:r>
              <w:rPr>
                <w:rFonts w:hint="eastAsia" w:ascii="仿宋_GB2312" w:eastAsia="仿宋_GB2312" w:cs="Times New Roman"/>
                <w:kern w:val="0"/>
                <w:sz w:val="28"/>
                <w:szCs w:val="28"/>
                <w:highlight w:val="none"/>
                <w:shd w:val="clear" w:color="auto" w:fill="auto"/>
                <w:lang w:eastAsia="zh-CN"/>
              </w:rPr>
              <w:t>财政拨款</w:t>
            </w:r>
          </w:p>
        </w:tc>
      </w:tr>
    </w:tbl>
    <w:p w14:paraId="50B61F2C">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注：</w:t>
      </w:r>
      <w:r>
        <w:rPr>
          <w:rFonts w:hint="eastAsia" w:ascii="仿宋_GB2312" w:eastAsia="仿宋_GB2312"/>
          <w:sz w:val="32"/>
          <w:szCs w:val="32"/>
          <w:lang w:val="en-US" w:eastAsia="zh-CN"/>
        </w:rPr>
        <w:t>1.单位基本行政分为行政单位、参公事业单位、财政补助事业单位、经费自理事业单位四类。</w:t>
      </w:r>
    </w:p>
    <w:p w14:paraId="2DE65D21">
      <w:pPr>
        <w:ind w:firstLine="1280" w:firstLineChars="400"/>
        <w:rPr>
          <w:rFonts w:hint="default" w:ascii="仿宋_GB2312" w:eastAsia="仿宋_GB2312"/>
          <w:sz w:val="32"/>
          <w:szCs w:val="32"/>
          <w:lang w:val="en-US" w:eastAsia="zh-CN"/>
        </w:rPr>
      </w:pPr>
      <w:r>
        <w:rPr>
          <w:rFonts w:hint="eastAsia" w:ascii="仿宋_GB2312" w:eastAsia="仿宋_GB2312"/>
          <w:sz w:val="32"/>
          <w:szCs w:val="32"/>
          <w:lang w:val="en-US" w:eastAsia="zh-CN"/>
        </w:rPr>
        <w:t>2.经费形式分为财政拨款、财政性资金基本保证、财政性资金定额或定项补助、财政性资金零补助四类。</w:t>
      </w:r>
    </w:p>
    <w:p w14:paraId="3B701E2F">
      <w:pPr>
        <w:keepNext/>
        <w:keepLines/>
        <w:spacing w:line="580" w:lineRule="exact"/>
        <w:ind w:firstLine="640" w:firstLineChars="200"/>
        <w:jc w:val="left"/>
        <w:outlineLvl w:val="0"/>
        <w:rPr>
          <w:rFonts w:hint="eastAsia" w:ascii="黑体" w:eastAsia="黑体" w:cs="黑体"/>
          <w:kern w:val="0"/>
          <w:sz w:val="32"/>
          <w:szCs w:val="32"/>
          <w:lang w:eastAsia="zh-CN"/>
        </w:rPr>
      </w:pPr>
      <w:r>
        <w:rPr>
          <w:rFonts w:hint="eastAsia" w:ascii="黑体" w:eastAsia="黑体" w:cs="黑体"/>
          <w:kern w:val="0"/>
          <w:sz w:val="32"/>
          <w:szCs w:val="32"/>
          <w:lang w:eastAsia="zh-CN"/>
        </w:rPr>
        <w:t>人员情况</w:t>
      </w:r>
    </w:p>
    <w:p w14:paraId="5834CED6">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石家庄市鹿泉区人民代表大会常务委员会行政编制</w:t>
      </w:r>
      <w:r>
        <w:rPr>
          <w:rFonts w:hint="eastAsia" w:ascii="仿宋" w:hAnsi="仿宋" w:eastAsia="仿宋"/>
          <w:sz w:val="32"/>
          <w:szCs w:val="32"/>
          <w:lang w:val="en-US" w:eastAsia="zh-CN"/>
        </w:rPr>
        <w:t>20人，在职人员21人，事业编制10人，在岗7人。</w:t>
      </w:r>
    </w:p>
    <w:p w14:paraId="7C3D8E4D">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val="en-US" w:eastAsia="zh-CN"/>
        </w:rPr>
        <w:t>（二）</w:t>
      </w:r>
      <w:r>
        <w:rPr>
          <w:rFonts w:hint="eastAsia" w:ascii="仿宋" w:hAnsi="仿宋" w:eastAsia="仿宋" w:cs="楷体_GB2312"/>
          <w:b/>
          <w:bCs/>
          <w:sz w:val="32"/>
          <w:szCs w:val="32"/>
          <w:lang w:eastAsia="zh-CN"/>
        </w:rPr>
        <w:t>部门收支预决算情况</w:t>
      </w:r>
    </w:p>
    <w:p w14:paraId="462E989D">
      <w:pPr>
        <w:pStyle w:val="14"/>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2023年预算收入840.43万元，均为一般公共预算收入。</w:t>
      </w:r>
    </w:p>
    <w:p w14:paraId="2F515B5B">
      <w:pPr>
        <w:pStyle w:val="14"/>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2023年单位支出预算为840.43万元，其中基本支出706.85万元，包括人员经费583.15万元和日常公用经费123.69万元；项目支出133.58万元，主要为人大会议支出40万元，人大代表工作支出22万元，代表履职能力提升支出10万元，机关服务5万元，人大监督40.5万元，退役安置支出16.08万元，其他支出0万元。</w:t>
      </w:r>
    </w:p>
    <w:p w14:paraId="526E4A5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_GB2312" w:eastAsia="仿宋_GB2312" w:cs="仿宋_GB2312" w:hAnsiTheme="minorHAnsi"/>
          <w:kern w:val="0"/>
          <w:sz w:val="32"/>
          <w:szCs w:val="32"/>
          <w:lang w:val="en-US" w:eastAsia="zh-CN" w:bidi="ar-SA"/>
        </w:rPr>
      </w:pPr>
      <w:r>
        <w:rPr>
          <w:rFonts w:hint="eastAsia" w:ascii="仿宋_GB2312" w:eastAsia="仿宋_GB2312" w:cs="仿宋_GB2312" w:hAnsiTheme="minorHAnsi"/>
          <w:kern w:val="0"/>
          <w:sz w:val="32"/>
          <w:szCs w:val="32"/>
          <w:lang w:val="en-US" w:eastAsia="zh-CN" w:bidi="ar-SA"/>
        </w:rPr>
        <w:t>2023年度决算财政拨款本年支出871.75万元，均为一般公共预算财政拨款本年支出，其中：基本支出761.21万元，项目支出110.55万元，基本建设类项目0万元。</w:t>
      </w:r>
    </w:p>
    <w:p w14:paraId="3C88A309">
      <w:pPr>
        <w:widowControl w:val="0"/>
        <w:wordWrap/>
        <w:adjustRightInd w:val="0"/>
        <w:snapToGrid w:val="0"/>
        <w:spacing w:line="560" w:lineRule="exact"/>
        <w:ind w:right="0" w:firstLine="321" w:firstLineChars="1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14:paraId="5A2BCA3A">
      <w:pPr>
        <w:pStyle w:val="14"/>
        <w:keepNext w:val="0"/>
        <w:keepLines w:val="0"/>
        <w:pageBreakBefore w:val="0"/>
        <w:widowControl w:val="0"/>
        <w:kinsoku/>
        <w:wordWrap/>
        <w:overflowPunct/>
        <w:topLinePunct w:val="0"/>
        <w:autoSpaceDE/>
        <w:autoSpaceDN/>
        <w:bidi w:val="0"/>
        <w:spacing w:line="580" w:lineRule="exact"/>
        <w:ind w:left="0" w:leftChars="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根据鹿泉区人民代表大会会议通过的工作报告，在区人民代表大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32E25066">
      <w:pPr>
        <w:keepNext w:val="0"/>
        <w:keepLines w:val="0"/>
        <w:pageBreakBefore w:val="0"/>
        <w:widowControl w:val="0"/>
        <w:kinsoku/>
        <w:wordWrap/>
        <w:overflowPunct/>
        <w:topLinePunct w:val="0"/>
        <w:autoSpaceDE/>
        <w:autoSpaceDN/>
        <w:bidi w:val="0"/>
        <w:adjustRightInd w:val="0"/>
        <w:snapToGrid w:val="0"/>
        <w:spacing w:line="58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预决算公开：2023年按照上级要求，我部门在政府网站进行了预决算公开。</w:t>
      </w:r>
    </w:p>
    <w:p w14:paraId="4C542885">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资产管理：我部门进一步加强资产的管理，制定了《资产管理内控制度》等制度，明确了具体责任人，完善了固定资产档案，严格报批、销审等手续，做好资产登记工作，单位无资产流失现象。</w:t>
      </w:r>
    </w:p>
    <w:p w14:paraId="31B20692">
      <w:pPr>
        <w:adjustRightInd w:val="0"/>
        <w:snapToGrid w:val="0"/>
        <w:spacing w:line="580" w:lineRule="exact"/>
        <w:ind w:firstLine="640" w:firstLineChars="200"/>
        <w:rPr>
          <w:rFonts w:hint="eastAsia" w:ascii="仿宋_GB2312" w:hAnsi="Times New Roman" w:eastAsia="仿宋_GB2312" w:cs="仿宋_GB2312"/>
          <w:sz w:val="32"/>
          <w:szCs w:val="32"/>
          <w:highlight w:val="none"/>
        </w:rPr>
      </w:pPr>
      <w:r>
        <w:rPr>
          <w:rFonts w:hint="eastAsia" w:ascii="仿宋" w:hAnsi="仿宋" w:eastAsia="仿宋" w:cs="仿宋"/>
          <w:sz w:val="32"/>
          <w:szCs w:val="32"/>
          <w:lang w:val="en-US" w:eastAsia="zh-CN"/>
        </w:rPr>
        <w:t>“</w:t>
      </w:r>
      <w:bookmarkStart w:id="0" w:name="_GoBack"/>
      <w:r>
        <w:rPr>
          <w:rFonts w:hint="eastAsia" w:ascii="仿宋" w:hAnsi="仿宋" w:eastAsia="仿宋" w:cs="仿宋"/>
          <w:sz w:val="32"/>
          <w:szCs w:val="32"/>
          <w:lang w:val="en-US" w:eastAsia="zh-CN"/>
        </w:rPr>
        <w:t>三公</w:t>
      </w:r>
      <w:bookmarkEnd w:id="0"/>
      <w:r>
        <w:rPr>
          <w:rFonts w:hint="eastAsia" w:ascii="仿宋" w:hAnsi="仿宋" w:eastAsia="仿宋" w:cs="仿宋"/>
          <w:sz w:val="32"/>
          <w:szCs w:val="32"/>
          <w:lang w:val="en-US" w:eastAsia="zh-CN"/>
        </w:rPr>
        <w:t>”经费控制情况：我部门贯彻落实上级有关精神，严格控制“三公”经费支出，取得了良好的效果，具体情况如下：</w:t>
      </w:r>
      <w:r>
        <w:rPr>
          <w:rFonts w:hint="eastAsia" w:ascii="仿宋_GB2312" w:hAnsi="Times New Roman" w:eastAsia="仿宋_GB2312" w:cs="仿宋_GB2312"/>
          <w:sz w:val="32"/>
          <w:szCs w:val="32"/>
        </w:rPr>
        <w:t>本</w:t>
      </w:r>
      <w:r>
        <w:rPr>
          <w:rFonts w:hint="eastAsia" w:ascii="仿宋_GB2312" w:hAnsi="Times New Roman" w:eastAsia="仿宋_GB2312" w:cs="仿宋_GB2312"/>
          <w:sz w:val="32"/>
          <w:szCs w:val="32"/>
          <w:lang w:eastAsia="zh-CN"/>
        </w:rPr>
        <w:t>部门</w:t>
      </w:r>
      <w:r>
        <w:rPr>
          <w:rFonts w:ascii="仿宋_GB2312" w:hAnsi="Times New Roman" w:eastAsia="仿宋_GB2312" w:cs="仿宋_GB2312"/>
          <w:sz w:val="32"/>
          <w:szCs w:val="32"/>
        </w:rPr>
        <w:t>202</w:t>
      </w:r>
      <w:r>
        <w:rPr>
          <w:rFonts w:hint="eastAsia" w:ascii="仿宋_GB2312" w:hAnsi="Times New Roman" w:eastAsia="仿宋_GB2312" w:cs="仿宋_GB2312"/>
          <w:sz w:val="32"/>
          <w:szCs w:val="32"/>
          <w:lang w:val="en-US" w:eastAsia="zh-CN"/>
        </w:rPr>
        <w:t>3</w:t>
      </w:r>
      <w:r>
        <w:rPr>
          <w:rFonts w:hint="eastAsia" w:ascii="仿宋_GB2312" w:hAnsi="Times New Roman" w:eastAsia="仿宋_GB2312" w:cs="仿宋_GB2312"/>
          <w:sz w:val="32"/>
          <w:szCs w:val="32"/>
        </w:rPr>
        <w:t>年度“三公”经费财政拨款支出预算为</w:t>
      </w:r>
      <w:r>
        <w:rPr>
          <w:rFonts w:hint="eastAsia" w:ascii="仿宋_GB2312" w:hAnsi="Times New Roman" w:eastAsia="仿宋_GB2312" w:cs="仿宋_GB2312"/>
          <w:sz w:val="32"/>
          <w:szCs w:val="32"/>
          <w:lang w:val="en-US" w:eastAsia="zh-CN"/>
        </w:rPr>
        <w:t>18.5</w:t>
      </w:r>
      <w:r>
        <w:rPr>
          <w:rFonts w:hint="eastAsia" w:ascii="仿宋_GB2312" w:hAnsi="Times New Roman" w:eastAsia="仿宋_GB2312" w:cs="仿宋_GB2312"/>
          <w:sz w:val="32"/>
          <w:szCs w:val="32"/>
        </w:rPr>
        <w:t>万元，支出决</w:t>
      </w:r>
      <w:r>
        <w:rPr>
          <w:rFonts w:hint="eastAsia" w:ascii="仿宋_GB2312" w:hAnsi="Times New Roman" w:eastAsia="仿宋_GB2312" w:cs="仿宋_GB2312"/>
          <w:sz w:val="32"/>
          <w:szCs w:val="32"/>
          <w:highlight w:val="none"/>
        </w:rPr>
        <w:t>算为</w:t>
      </w:r>
      <w:r>
        <w:rPr>
          <w:rFonts w:hint="eastAsia" w:ascii="仿宋_GB2312" w:hAnsi="Times New Roman" w:eastAsia="仿宋_GB2312" w:cs="仿宋_GB2312"/>
          <w:sz w:val="32"/>
          <w:szCs w:val="32"/>
          <w:highlight w:val="none"/>
          <w:lang w:val="en-US" w:eastAsia="zh-CN"/>
        </w:rPr>
        <w:t>9.02</w:t>
      </w:r>
      <w:r>
        <w:rPr>
          <w:rFonts w:hint="eastAsia" w:ascii="仿宋_GB2312" w:hAnsi="Times New Roman" w:eastAsia="仿宋_GB2312" w:cs="仿宋_GB2312"/>
          <w:sz w:val="32"/>
          <w:szCs w:val="32"/>
          <w:highlight w:val="none"/>
        </w:rPr>
        <w:t>万元，完成预算的</w:t>
      </w:r>
      <w:r>
        <w:rPr>
          <w:rFonts w:hint="eastAsia" w:ascii="仿宋_GB2312" w:hAnsi="Times New Roman" w:eastAsia="仿宋_GB2312" w:cs="仿宋_GB2312"/>
          <w:sz w:val="32"/>
          <w:szCs w:val="32"/>
          <w:highlight w:val="none"/>
          <w:lang w:val="en-US" w:eastAsia="zh-CN"/>
        </w:rPr>
        <w:t>48.8</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较预算减少</w:t>
      </w:r>
      <w:r>
        <w:rPr>
          <w:rFonts w:hint="eastAsia" w:ascii="仿宋_GB2312" w:hAnsi="Times New Roman" w:eastAsia="仿宋_GB2312" w:cs="仿宋_GB2312"/>
          <w:sz w:val="32"/>
          <w:szCs w:val="32"/>
          <w:highlight w:val="none"/>
          <w:lang w:val="en-US" w:eastAsia="zh-CN"/>
        </w:rPr>
        <w:t>9.48</w:t>
      </w:r>
      <w:r>
        <w:rPr>
          <w:rFonts w:hint="eastAsia" w:ascii="仿宋_GB2312" w:hAnsi="Times New Roman" w:eastAsia="仿宋_GB2312" w:cs="仿宋_GB2312"/>
          <w:sz w:val="32"/>
          <w:szCs w:val="32"/>
          <w:highlight w:val="none"/>
        </w:rPr>
        <w:t>万元，降低</w:t>
      </w:r>
      <w:r>
        <w:rPr>
          <w:rFonts w:hint="eastAsia" w:ascii="仿宋_GB2312" w:hAnsi="Times New Roman" w:eastAsia="仿宋_GB2312" w:cs="仿宋_GB2312"/>
          <w:sz w:val="32"/>
          <w:szCs w:val="32"/>
          <w:highlight w:val="none"/>
          <w:lang w:val="en-US" w:eastAsia="zh-CN"/>
        </w:rPr>
        <w:t>51.2</w:t>
      </w:r>
      <w:r>
        <w:rPr>
          <w:rFonts w:ascii="仿宋_GB2312" w:hAnsi="Times New Roman" w:eastAsia="仿宋_GB2312" w:cs="仿宋_GB2312"/>
          <w:sz w:val="32"/>
          <w:szCs w:val="32"/>
          <w:highlight w:val="none"/>
        </w:rPr>
        <w:t>%</w:t>
      </w:r>
      <w:r>
        <w:rPr>
          <w:rFonts w:hint="eastAsia" w:ascii="仿宋_GB2312" w:hAnsi="Times New Roman" w:eastAsia="仿宋_GB2312" w:cs="仿宋_GB2312"/>
          <w:sz w:val="32"/>
          <w:szCs w:val="32"/>
          <w:highlight w:val="none"/>
        </w:rPr>
        <w:t>，主要是</w:t>
      </w:r>
      <w:r>
        <w:rPr>
          <w:rFonts w:hint="eastAsia" w:ascii="仿宋_GB2312" w:hAnsi="Times New Roman" w:eastAsia="仿宋_GB2312" w:cs="Wingdings"/>
          <w:sz w:val="32"/>
          <w:szCs w:val="32"/>
          <w:highlight w:val="none"/>
          <w:lang w:val="en-US" w:eastAsia="zh-CN"/>
        </w:rPr>
        <w:t>厉行节约，严控公务接待规模以及公务用车次数</w:t>
      </w:r>
      <w:r>
        <w:rPr>
          <w:rFonts w:hint="eastAsia" w:ascii="仿宋_GB2312" w:hAnsi="Times New Roman" w:eastAsia="仿宋_GB2312" w:cs="仿宋_GB2312"/>
          <w:sz w:val="32"/>
          <w:szCs w:val="32"/>
          <w:highlight w:val="none"/>
        </w:rPr>
        <w:t>；较</w:t>
      </w:r>
      <w:r>
        <w:rPr>
          <w:rFonts w:ascii="仿宋_GB2312" w:hAnsi="Times New Roman" w:eastAsia="仿宋_GB2312" w:cs="仿宋_GB2312"/>
          <w:sz w:val="32"/>
          <w:szCs w:val="32"/>
          <w:highlight w:val="none"/>
        </w:rPr>
        <w:t>202</w:t>
      </w:r>
      <w:r>
        <w:rPr>
          <w:rFonts w:hint="eastAsia" w:ascii="仿宋_GB2312" w:hAnsi="Times New Roman" w:eastAsia="仿宋_GB2312" w:cs="仿宋_GB2312"/>
          <w:sz w:val="32"/>
          <w:szCs w:val="32"/>
          <w:highlight w:val="none"/>
          <w:lang w:val="en-US" w:eastAsia="zh-CN"/>
        </w:rPr>
        <w:t>2</w:t>
      </w:r>
      <w:r>
        <w:rPr>
          <w:rFonts w:hint="eastAsia" w:ascii="仿宋_GB2312" w:hAnsi="Times New Roman" w:eastAsia="仿宋_GB2312" w:cs="仿宋_GB2312"/>
          <w:sz w:val="32"/>
          <w:szCs w:val="32"/>
          <w:highlight w:val="none"/>
        </w:rPr>
        <w:t>年度决算</w:t>
      </w:r>
      <w:r>
        <w:rPr>
          <w:rFonts w:hint="eastAsia" w:ascii="仿宋_GB2312" w:hAnsi="Times New Roman" w:eastAsia="仿宋_GB2312" w:cs="仿宋_GB2312"/>
          <w:sz w:val="32"/>
          <w:szCs w:val="32"/>
          <w:highlight w:val="none"/>
          <w:lang w:eastAsia="zh-CN"/>
        </w:rPr>
        <w:t>减少</w:t>
      </w:r>
      <w:r>
        <w:rPr>
          <w:rFonts w:hint="eastAsia" w:ascii="仿宋_GB2312" w:hAnsi="Times New Roman" w:eastAsia="仿宋_GB2312" w:cs="仿宋_GB2312"/>
          <w:sz w:val="32"/>
          <w:szCs w:val="32"/>
          <w:highlight w:val="none"/>
          <w:lang w:val="en-US" w:eastAsia="zh-CN"/>
        </w:rPr>
        <w:t>14.54</w:t>
      </w:r>
      <w:r>
        <w:rPr>
          <w:rFonts w:hint="eastAsia" w:ascii="仿宋_GB2312" w:hAnsi="Times New Roman" w:eastAsia="仿宋_GB2312" w:cs="仿宋_GB2312"/>
          <w:sz w:val="32"/>
          <w:szCs w:val="32"/>
          <w:highlight w:val="none"/>
        </w:rPr>
        <w:t>万元，</w:t>
      </w:r>
      <w:r>
        <w:rPr>
          <w:rFonts w:hint="eastAsia" w:ascii="仿宋_GB2312" w:hAnsi="Times New Roman" w:eastAsia="仿宋_GB2312" w:cs="Wingdings"/>
          <w:sz w:val="32"/>
          <w:szCs w:val="32"/>
          <w:highlight w:val="none"/>
          <w:lang w:val="en-US" w:eastAsia="zh-CN"/>
        </w:rPr>
        <w:t>减少了61.72%，</w:t>
      </w:r>
      <w:r>
        <w:rPr>
          <w:rFonts w:hint="eastAsia" w:ascii="仿宋_GB2312" w:hAnsi="Times New Roman" w:eastAsia="仿宋_GB2312" w:cs="仿宋_GB2312"/>
          <w:sz w:val="32"/>
          <w:szCs w:val="32"/>
          <w:highlight w:val="none"/>
        </w:rPr>
        <w:t>主要</w:t>
      </w:r>
      <w:r>
        <w:rPr>
          <w:rFonts w:hint="eastAsia" w:ascii="仿宋_GB2312" w:hAnsi="Times New Roman" w:eastAsia="仿宋_GB2312" w:cs="仿宋_GB2312"/>
          <w:sz w:val="32"/>
          <w:szCs w:val="32"/>
          <w:highlight w:val="none"/>
          <w:lang w:val="en-US" w:eastAsia="zh-CN"/>
        </w:rPr>
        <w:t>原因为减少购买公务用车1辆</w:t>
      </w:r>
      <w:r>
        <w:rPr>
          <w:rFonts w:hint="eastAsia" w:ascii="仿宋_GB2312" w:hAnsi="Times New Roman" w:eastAsia="仿宋_GB2312" w:cs="仿宋_GB2312"/>
          <w:sz w:val="32"/>
          <w:szCs w:val="32"/>
          <w:highlight w:val="none"/>
        </w:rPr>
        <w:t>。</w:t>
      </w:r>
    </w:p>
    <w:p w14:paraId="69100A97">
      <w:pPr>
        <w:pStyle w:val="8"/>
        <w:pageBreakBefore w:val="0"/>
        <w:widowControl w:val="0"/>
        <w:kinsoku/>
        <w:wordWrap/>
        <w:overflowPunct/>
        <w:topLinePunct w:val="0"/>
        <w:autoSpaceDE/>
        <w:autoSpaceDN/>
        <w:bidi w:val="0"/>
        <w:spacing w:line="540" w:lineRule="exact"/>
        <w:ind w:left="0" w:leftChars="0" w:right="0" w:righ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内部管理制度建设：健全单位财务管理制度，制订内部控制管理制度，加强合理使用和管理；制定内部监督检查制度，强化内部制度执行的监督管理。</w:t>
      </w:r>
    </w:p>
    <w:p w14:paraId="30BC9C0D">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项目绩效总目标完成情况：2023年我部门完成各项工作任务。</w:t>
      </w:r>
    </w:p>
    <w:p w14:paraId="7C6A028E">
      <w:pPr>
        <w:pStyle w:val="8"/>
        <w:pageBreakBefore w:val="0"/>
        <w:widowControl w:val="0"/>
        <w:kinsoku/>
        <w:wordWrap/>
        <w:overflowPunct/>
        <w:topLinePunct w:val="0"/>
        <w:autoSpaceDE/>
        <w:autoSpaceDN/>
        <w:bidi w:val="0"/>
        <w:spacing w:line="540" w:lineRule="exact"/>
        <w:ind w:right="0" w:rightChars="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从整体情况来看，严格按照年初预算进行部门整体支出。在支出过程中，能严格遵守各项规章制度。</w:t>
      </w:r>
    </w:p>
    <w:p w14:paraId="7F4325DB">
      <w:pPr>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14:paraId="6A6B3C38">
      <w:pPr>
        <w:pageBreakBefore w:val="0"/>
        <w:widowControl w:val="0"/>
        <w:kinsoku/>
        <w:wordWrap/>
        <w:overflowPunct/>
        <w:topLinePunct w:val="0"/>
        <w:autoSpaceDE/>
        <w:autoSpaceDN/>
        <w:bidi w:val="0"/>
        <w:spacing w:line="540" w:lineRule="exact"/>
        <w:ind w:left="0" w:leftChars="0" w:right="0" w:rightChars="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14:paraId="41786C3C">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严格落实《中华人民共和国预算法》及省、市、区绩效管理工作的有关规定，通过开展部门整体支出绩效评价，促进部门整体预算绩效管理工作水平的提升，强化部门支出责任，规范资金管理行为，提高财政资金使用效益，保障部门更好地履行职责。</w:t>
      </w:r>
    </w:p>
    <w:p w14:paraId="09B3AE60">
      <w:pPr>
        <w:pStyle w:val="8"/>
        <w:pageBreakBefore w:val="0"/>
        <w:widowControl w:val="0"/>
        <w:kinsoku/>
        <w:wordWrap/>
        <w:overflowPunct/>
        <w:topLinePunct w:val="0"/>
        <w:autoSpaceDE/>
        <w:autoSpaceDN/>
        <w:bidi w:val="0"/>
        <w:spacing w:line="540" w:lineRule="exact"/>
        <w:ind w:right="0" w:rightChars="0"/>
        <w:rPr>
          <w:rFonts w:ascii="仿宋" w:hAnsi="仿宋" w:eastAsia="仿宋"/>
          <w:sz w:val="32"/>
          <w:szCs w:val="32"/>
        </w:rPr>
      </w:pPr>
      <w:r>
        <w:rPr>
          <w:rFonts w:hint="eastAsia" w:ascii="仿宋" w:hAnsi="仿宋" w:eastAsia="仿宋"/>
          <w:sz w:val="32"/>
          <w:szCs w:val="32"/>
          <w:lang w:val="en-US" w:eastAsia="zh-CN"/>
        </w:rPr>
        <w:t>根据区财政局《关于开展2024年绩效自评工作的通知》相关要求，对2023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2023年区级预算项目进行自查自评，形成绩效评价报告。</w:t>
      </w:r>
    </w:p>
    <w:p w14:paraId="7F2E2604">
      <w:pPr>
        <w:pageBreakBefore w:val="0"/>
        <w:widowControl w:val="0"/>
        <w:numPr>
          <w:ilvl w:val="0"/>
          <w:numId w:val="1"/>
        </w:numPr>
        <w:kinsoku/>
        <w:wordWrap/>
        <w:overflowPunct/>
        <w:topLinePunct w:val="0"/>
        <w:autoSpaceDE/>
        <w:autoSpaceDN/>
        <w:bidi w:val="0"/>
        <w:spacing w:line="540" w:lineRule="exact"/>
        <w:ind w:left="642" w:leftChars="0" w:right="0" w:rightChars="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14:paraId="32A6796A">
      <w:pPr>
        <w:pStyle w:val="8"/>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绩效自评方法和过程主要如下：</w:t>
      </w:r>
    </w:p>
    <w:p w14:paraId="2F2FF5CE">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核实数据：对2023年度部门整体支出数据的准确性、真实性进行核实，将2022年度和2023年度部门整体支出情况进行分析比较；</w:t>
      </w:r>
    </w:p>
    <w:p w14:paraId="4034FFCE">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查阅资料：查阅2023年度预算安排、预算追加、资金管理、经费支出、资产管理等相关文件资料和财务凭证；</w:t>
      </w:r>
    </w:p>
    <w:p w14:paraId="62A0054D">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归纳汇总：对收集的评价材料结合本单位情况进行综合分析、归纳汇总；</w:t>
      </w:r>
    </w:p>
    <w:p w14:paraId="2FB260FF">
      <w:pPr>
        <w:pStyle w:val="8"/>
        <w:keepNext w:val="0"/>
        <w:keepLines w:val="0"/>
        <w:pageBreakBefore w:val="0"/>
        <w:widowControl w:val="0"/>
        <w:numPr>
          <w:ilvl w:val="0"/>
          <w:numId w:val="2"/>
        </w:numPr>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根据评价材料结合各项评价指标进行分析评价；</w:t>
      </w:r>
    </w:p>
    <w:p w14:paraId="70447A37">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baseline"/>
        <w:rPr>
          <w:rFonts w:hint="eastAsia"/>
        </w:rPr>
      </w:pPr>
      <w:r>
        <w:rPr>
          <w:rFonts w:hint="eastAsia" w:ascii="仿宋" w:hAnsi="仿宋" w:eastAsia="仿宋" w:cs="仿宋"/>
          <w:sz w:val="32"/>
          <w:szCs w:val="32"/>
          <w:lang w:val="en-US" w:eastAsia="zh-CN"/>
        </w:rPr>
        <w:t>5、形成部门整体支出绩效自评报告。</w:t>
      </w:r>
    </w:p>
    <w:p w14:paraId="2A407CE5">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hint="eastAsia" w:ascii="黑体" w:hAnsi="黑体" w:eastAsia="黑体"/>
          <w:b/>
          <w:bCs/>
          <w:sz w:val="32"/>
          <w:szCs w:val="32"/>
          <w:lang w:eastAsia="zh-CN"/>
        </w:rPr>
      </w:pP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14:paraId="4D423ED1">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14:paraId="2D796609">
      <w:pPr>
        <w:pStyle w:val="8"/>
        <w:keepNext w:val="0"/>
        <w:keepLines w:val="0"/>
        <w:pageBreakBefore w:val="0"/>
        <w:widowControl w:val="0"/>
        <w:numPr>
          <w:ilvl w:val="0"/>
          <w:numId w:val="0"/>
        </w:numPr>
        <w:kinsoku/>
        <w:wordWrap/>
        <w:overflowPunct/>
        <w:topLinePunct w:val="0"/>
        <w:autoSpaceDE/>
        <w:autoSpaceDN/>
        <w:bidi w:val="0"/>
        <w:adjustRightInd/>
        <w:snapToGrid/>
        <w:spacing w:line="540" w:lineRule="exact"/>
        <w:ind w:right="0" w:rightChars="0" w:firstLine="640" w:firstLineChars="200"/>
        <w:textAlignment w:val="baseline"/>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鹿泉区人民代表大会会议通过的工作报告，在区人民代表大会闭会期间，根据我区的具体情况和实际需要，审议决定我区政治、经济、科学、教育、文化、卫生、环境与资源保护、民政、民族等工作的重大事项以及人民群众普遍关注和迫切要求解决的重大问题；审查和批准国民经济和社会发展计划、预算在执行过程中所必须作的部分调整方案。监督区人民政府、区监察委员会、区人民法院和区检察院的工作。紧扣区委建设“经济强区，魅力鹿泉，生态宜居宜业宜游省会新城区”决策部署，坚持稳中求进工作总基调，立足新发展阶段，贯彻新发展理念，构建新发展格局，以推动高质量发展为主题，依法履职、为民尽责，敢于争先、全力创优，在鹿泉高质量发展新征程中发出人大声音、展示人大作为、贡献人大力量。</w:t>
      </w:r>
    </w:p>
    <w:p w14:paraId="10A07450">
      <w:pPr>
        <w:pageBreakBefore w:val="0"/>
        <w:widowControl w:val="0"/>
        <w:numPr>
          <w:ilvl w:val="0"/>
          <w:numId w:val="3"/>
        </w:numPr>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cs="楷体_GB2312"/>
          <w:b/>
          <w:bCs/>
          <w:sz w:val="32"/>
          <w:szCs w:val="32"/>
          <w:lang w:val="en-US" w:eastAsia="zh-CN"/>
        </w:rPr>
      </w:pPr>
      <w:r>
        <w:rPr>
          <w:rFonts w:hint="eastAsia" w:ascii="仿宋" w:hAnsi="仿宋" w:eastAsia="仿宋" w:cs="楷体_GB2312"/>
          <w:b/>
          <w:bCs/>
          <w:sz w:val="32"/>
          <w:szCs w:val="32"/>
          <w:lang w:val="en-US" w:eastAsia="zh-CN"/>
        </w:rPr>
        <w:t>分项绩效目标</w:t>
      </w:r>
    </w:p>
    <w:p w14:paraId="63630E7B">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1、监督工作</w:t>
      </w:r>
    </w:p>
    <w:p w14:paraId="348424DF">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绩效目标：按照区人大常委会2023年监督工作思路，完成监督工作任务。</w:t>
      </w:r>
    </w:p>
    <w:p w14:paraId="060071F5">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绩效指标：监督工作任务完成率</w:t>
      </w:r>
    </w:p>
    <w:p w14:paraId="29B19535">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2、人大会议</w:t>
      </w:r>
    </w:p>
    <w:p w14:paraId="3029ED32">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绩效目标：召开区人民代表大会1 次，区人大常委会会议6次，机关各部门根据工作需要召开会议。</w:t>
      </w:r>
    </w:p>
    <w:p w14:paraId="302FC06A">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绩效指标：会议召开率、会议任务完成率 </w:t>
      </w:r>
    </w:p>
    <w:p w14:paraId="4C53F0B0">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3、选举任免工作</w:t>
      </w:r>
    </w:p>
    <w:p w14:paraId="5AA8434F">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绩效目标：依法依规完成人大选举及常委会人事任免工作。</w:t>
      </w:r>
    </w:p>
    <w:p w14:paraId="66670138">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绩效指标：工作完成率、任务实现率</w:t>
      </w:r>
    </w:p>
    <w:p w14:paraId="146A5FDC">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4、人大代表工作</w:t>
      </w:r>
    </w:p>
    <w:p w14:paraId="36B35ADD">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绩效目标：按照工作需要，依法依规组织区人大代表、区人大常委会组成人员及区人大代表进行执法检查和集中视察；开展代表建议督办；组织对常委会组成人员及代表培训。</w:t>
      </w:r>
    </w:p>
    <w:p w14:paraId="09FF2713">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绩效指标： 执法检查和集中视察任务完成率、代表建议督办完成率、培训计划完成率。</w:t>
      </w:r>
    </w:p>
    <w:p w14:paraId="24B6CCA1">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5、人大事务管理</w:t>
      </w:r>
    </w:p>
    <w:p w14:paraId="2BAB2628">
      <w:pPr>
        <w:pStyle w:val="16"/>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绩效目标：按照2023年区人大常委会机关工作思路，完成机关人事、财务、会务、接待、公文办理、党建、信访、宣传、纪检监察组及机关纪委、离退休人员服务、信息化建设与维护、基础设施建设与维护、文印、后勤服务以及领导交办的其他工作，努力将区人大常委会机关建设成为作风一流、业务一流、服务一流、纪律一流的代表机关和工作机关。</w:t>
      </w:r>
    </w:p>
    <w:p w14:paraId="1199D542">
      <w:pPr>
        <w:pStyle w:val="16"/>
        <w:rPr>
          <w:rFonts w:hint="eastAsia" w:ascii="黑体" w:hAnsi="黑体" w:eastAsia="黑体"/>
          <w:sz w:val="32"/>
          <w:szCs w:val="32"/>
        </w:rPr>
      </w:pPr>
      <w:r>
        <w:rPr>
          <w:rFonts w:hint="eastAsia" w:ascii="仿宋" w:hAnsi="仿宋" w:eastAsia="仿宋" w:cs="仿宋"/>
          <w:kern w:val="2"/>
          <w:sz w:val="32"/>
          <w:szCs w:val="32"/>
          <w:lang w:val="en-US" w:eastAsia="zh-CN" w:bidi="ar-SA"/>
        </w:rPr>
        <w:t>绩效指标：工作任务完成率</w:t>
      </w:r>
    </w:p>
    <w:p w14:paraId="7A739FE5">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14:paraId="04F3F3A0">
      <w:pPr>
        <w:pStyle w:val="16"/>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，给出总得分，满分100分，得出综合绩效评价等级。</w:t>
      </w:r>
      <w:r>
        <w:rPr>
          <w:rFonts w:hint="eastAsia" w:ascii="仿宋" w:hAnsi="仿宋" w:eastAsia="仿宋"/>
          <w:sz w:val="32"/>
          <w:szCs w:val="32"/>
          <w:lang w:eastAsia="zh-CN"/>
        </w:rPr>
        <w:t>部门整体支出</w:t>
      </w:r>
      <w:r>
        <w:rPr>
          <w:rFonts w:hint="eastAsia" w:ascii="仿宋" w:hAnsi="仿宋" w:eastAsia="仿宋"/>
          <w:sz w:val="32"/>
          <w:szCs w:val="32"/>
        </w:rPr>
        <w:t>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Style w:val="9"/>
        <w:tblpPr w:leftFromText="180" w:rightFromText="180" w:vertAnchor="text" w:horzAnchor="page" w:tblpXSpec="center" w:tblpY="548"/>
        <w:tblOverlap w:val="never"/>
        <w:tblW w:w="850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79"/>
        <w:gridCol w:w="969"/>
        <w:gridCol w:w="1377"/>
        <w:gridCol w:w="987"/>
        <w:gridCol w:w="1020"/>
        <w:gridCol w:w="390"/>
        <w:gridCol w:w="585"/>
        <w:gridCol w:w="2797"/>
      </w:tblGrid>
      <w:tr w14:paraId="4D2D0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4" w:hRule="atLeast"/>
          <w:jc w:val="center"/>
        </w:trPr>
        <w:tc>
          <w:tcPr>
            <w:tcW w:w="8504" w:type="dxa"/>
            <w:gridSpan w:val="8"/>
            <w:tcBorders>
              <w:top w:val="nil"/>
              <w:left w:val="nil"/>
              <w:bottom w:val="nil"/>
              <w:right w:val="nil"/>
            </w:tcBorders>
            <w:shd w:val="clear" w:color="auto" w:fill="auto"/>
            <w:noWrap/>
            <w:vAlign w:val="center"/>
          </w:tcPr>
          <w:p w14:paraId="2E5CAC8D">
            <w:pPr>
              <w:keepNext w:val="0"/>
              <w:keepLines w:val="0"/>
              <w:widowControl/>
              <w:suppressLineNumbers w:val="0"/>
              <w:jc w:val="center"/>
              <w:textAlignment w:val="center"/>
              <w:rPr>
                <w:rFonts w:hint="eastAsia" w:ascii="宋体" w:hAnsi="宋体" w:eastAsia="宋体" w:cs="宋体"/>
                <w:i w:val="0"/>
                <w:iCs w:val="0"/>
                <w:color w:val="000000"/>
                <w:sz w:val="44"/>
                <w:szCs w:val="44"/>
                <w:u w:val="none"/>
              </w:rPr>
            </w:pPr>
            <w:r>
              <w:rPr>
                <w:rFonts w:hint="eastAsia" w:ascii="宋体" w:hAnsi="宋体" w:eastAsia="宋体" w:cs="宋体"/>
                <w:i w:val="0"/>
                <w:iCs w:val="0"/>
                <w:color w:val="000000"/>
                <w:kern w:val="0"/>
                <w:sz w:val="44"/>
                <w:szCs w:val="44"/>
                <w:u w:val="none"/>
                <w:lang w:val="en-US" w:eastAsia="zh-CN" w:bidi="ar"/>
              </w:rPr>
              <w:t>部门绩效自评结果公开汇总表</w:t>
            </w:r>
          </w:p>
        </w:tc>
      </w:tr>
      <w:tr w14:paraId="157A08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1" w:hRule="atLeast"/>
          <w:jc w:val="center"/>
        </w:trPr>
        <w:tc>
          <w:tcPr>
            <w:tcW w:w="1348" w:type="dxa"/>
            <w:gridSpan w:val="2"/>
            <w:tcBorders>
              <w:top w:val="nil"/>
              <w:left w:val="nil"/>
              <w:bottom w:val="single" w:color="000000" w:sz="4" w:space="0"/>
              <w:right w:val="nil"/>
            </w:tcBorders>
            <w:shd w:val="clear" w:color="auto" w:fill="auto"/>
            <w:noWrap/>
            <w:vAlign w:val="center"/>
          </w:tcPr>
          <w:p w14:paraId="3E9AE9FD">
            <w:pPr>
              <w:keepNext w:val="0"/>
              <w:keepLines w:val="0"/>
              <w:widowControl/>
              <w:suppressLineNumbers w:val="0"/>
              <w:jc w:val="left"/>
              <w:textAlignment w:val="center"/>
              <w:rPr>
                <w:rFonts w:ascii="仿宋" w:hAnsi="仿宋" w:eastAsia="仿宋" w:cs="仿宋"/>
                <w:i w:val="0"/>
                <w:iCs w:val="0"/>
                <w:color w:val="000000"/>
                <w:sz w:val="28"/>
                <w:szCs w:val="28"/>
                <w:u w:val="none"/>
              </w:rPr>
            </w:pPr>
          </w:p>
        </w:tc>
        <w:tc>
          <w:tcPr>
            <w:tcW w:w="1377" w:type="dxa"/>
            <w:tcBorders>
              <w:top w:val="nil"/>
              <w:left w:val="nil"/>
              <w:bottom w:val="single" w:color="000000" w:sz="4" w:space="0"/>
              <w:right w:val="nil"/>
            </w:tcBorders>
            <w:shd w:val="clear" w:color="auto" w:fill="auto"/>
            <w:noWrap/>
            <w:vAlign w:val="center"/>
          </w:tcPr>
          <w:p w14:paraId="5D6DB6F0">
            <w:pPr>
              <w:jc w:val="center"/>
              <w:rPr>
                <w:rFonts w:hint="eastAsia" w:ascii="仿宋" w:hAnsi="仿宋" w:eastAsia="仿宋" w:cs="仿宋"/>
                <w:i w:val="0"/>
                <w:iCs w:val="0"/>
                <w:color w:val="000000"/>
                <w:sz w:val="28"/>
                <w:szCs w:val="28"/>
                <w:u w:val="none"/>
              </w:rPr>
            </w:pPr>
          </w:p>
        </w:tc>
        <w:tc>
          <w:tcPr>
            <w:tcW w:w="987" w:type="dxa"/>
            <w:tcBorders>
              <w:top w:val="nil"/>
              <w:left w:val="nil"/>
              <w:bottom w:val="single" w:color="000000" w:sz="4" w:space="0"/>
              <w:right w:val="nil"/>
            </w:tcBorders>
            <w:shd w:val="clear" w:color="auto" w:fill="auto"/>
            <w:noWrap/>
            <w:vAlign w:val="center"/>
          </w:tcPr>
          <w:p w14:paraId="475A2461">
            <w:pPr>
              <w:jc w:val="center"/>
              <w:rPr>
                <w:rFonts w:hint="eastAsia" w:ascii="仿宋" w:hAnsi="仿宋" w:eastAsia="仿宋" w:cs="仿宋"/>
                <w:i w:val="0"/>
                <w:iCs w:val="0"/>
                <w:color w:val="000000"/>
                <w:sz w:val="28"/>
                <w:szCs w:val="28"/>
                <w:u w:val="none"/>
              </w:rPr>
            </w:pPr>
          </w:p>
        </w:tc>
        <w:tc>
          <w:tcPr>
            <w:tcW w:w="1020" w:type="dxa"/>
            <w:tcBorders>
              <w:top w:val="nil"/>
              <w:left w:val="nil"/>
              <w:bottom w:val="single" w:color="000000" w:sz="4" w:space="0"/>
              <w:right w:val="nil"/>
            </w:tcBorders>
            <w:shd w:val="clear" w:color="auto" w:fill="auto"/>
            <w:noWrap/>
            <w:vAlign w:val="center"/>
          </w:tcPr>
          <w:p w14:paraId="37673EA8">
            <w:pPr>
              <w:jc w:val="center"/>
              <w:rPr>
                <w:rFonts w:hint="eastAsia" w:ascii="仿宋" w:hAnsi="仿宋" w:eastAsia="仿宋" w:cs="仿宋"/>
                <w:i w:val="0"/>
                <w:iCs w:val="0"/>
                <w:color w:val="000000"/>
                <w:sz w:val="28"/>
                <w:szCs w:val="28"/>
                <w:u w:val="none"/>
              </w:rPr>
            </w:pPr>
          </w:p>
        </w:tc>
        <w:tc>
          <w:tcPr>
            <w:tcW w:w="3772" w:type="dxa"/>
            <w:gridSpan w:val="3"/>
            <w:tcBorders>
              <w:top w:val="nil"/>
              <w:left w:val="nil"/>
              <w:bottom w:val="single" w:color="000000" w:sz="4" w:space="0"/>
              <w:right w:val="nil"/>
            </w:tcBorders>
            <w:shd w:val="clear" w:color="auto" w:fill="auto"/>
            <w:noWrap/>
            <w:vAlign w:val="center"/>
          </w:tcPr>
          <w:p w14:paraId="5474A396">
            <w:pPr>
              <w:keepNext w:val="0"/>
              <w:keepLines w:val="0"/>
              <w:widowControl/>
              <w:suppressLineNumbers w:val="0"/>
              <w:jc w:val="righ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单位：万元</w:t>
            </w:r>
          </w:p>
        </w:tc>
      </w:tr>
      <w:tr w14:paraId="04201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91C48">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45DDA">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项目名称</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E56DE">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项目实施单位</w:t>
            </w:r>
          </w:p>
        </w:tc>
        <w:tc>
          <w:tcPr>
            <w:tcW w:w="9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2C132">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预算数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（调整后）</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3539">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执行数</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（至2023年底）</w:t>
            </w:r>
          </w:p>
        </w:tc>
        <w:tc>
          <w:tcPr>
            <w:tcW w:w="3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0C505">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结余交回财政数</w:t>
            </w:r>
          </w:p>
        </w:tc>
        <w:tc>
          <w:tcPr>
            <w:tcW w:w="5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F7BAD">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自评得分</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E3EC6">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自评结果应用意见</w:t>
            </w:r>
          </w:p>
        </w:tc>
      </w:tr>
      <w:tr w14:paraId="6D9E83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6"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97F3E">
            <w:pPr>
              <w:keepNext w:val="0"/>
              <w:keepLines w:val="0"/>
              <w:widowControl/>
              <w:suppressLineNumbers w:val="0"/>
              <w:jc w:val="center"/>
              <w:textAlignment w:val="center"/>
              <w:rPr>
                <w:rFonts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1</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0248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Style w:val="17"/>
                <w:rFonts w:hAnsi="宋体"/>
                <w:lang w:val="en-US" w:eastAsia="zh-CN" w:bidi="ar"/>
              </w:rPr>
              <w:t>代表订报刊杂志费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42D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F5921">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4ACE74">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10</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5C5E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CD898">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98</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DE40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该项目绩效自评为优秀。我们会加强精细化管理，合理安排使用此项资金，保证该项目正常开展。</w:t>
            </w:r>
          </w:p>
        </w:tc>
      </w:tr>
      <w:tr w14:paraId="0CDE68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3"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C8939">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2</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5AD9C">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Style w:val="17"/>
                <w:rFonts w:hAnsi="宋体"/>
                <w:lang w:val="en-US" w:eastAsia="zh-CN" w:bidi="ar"/>
              </w:rPr>
              <w:t>代表经费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804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3141D">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16.89</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72622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16.89</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D8301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B30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D34FC">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该项目绩效自评为优秀。我们会继续保证资金充足，保证工作正常开展，促进项目高质量发展。</w:t>
            </w:r>
          </w:p>
        </w:tc>
      </w:tr>
      <w:tr w14:paraId="21FFA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573A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3</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4ACBB">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代表之家（站）活动费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714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ABF6C">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13.5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E8B935">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13.5</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B948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BC6FE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CEF83">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该项目绩效自评为优秀。我们将加强对该项目预算资金安排工作，精准争取该方面资金，使预算资金更贴合实际。</w:t>
            </w:r>
          </w:p>
        </w:tc>
      </w:tr>
      <w:tr w14:paraId="1E20C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BE9B5">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4</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94D4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代表之家建设费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46A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BC866">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17</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89351">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17</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9DF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973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2EB7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该项目绩效自评为优秀。今后我们会更加精准争取该方面资金，使预算资金更贴切实际，保证工作正常开展。</w:t>
            </w:r>
          </w:p>
        </w:tc>
      </w:tr>
      <w:tr w14:paraId="2FC96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C65D">
            <w:pPr>
              <w:keepNext w:val="0"/>
              <w:keepLines w:val="0"/>
              <w:widowControl/>
              <w:suppressLineNumbers w:val="0"/>
              <w:jc w:val="center"/>
              <w:textAlignment w:val="center"/>
              <w:rPr>
                <w:rFonts w:hint="default" w:ascii="仿宋_GB2312" w:hAnsi="宋体" w:eastAsia="仿宋_GB2312" w:cs="仿宋_GB2312"/>
                <w:i w:val="0"/>
                <w:iCs w:val="0"/>
                <w:color w:val="000000"/>
                <w:kern w:val="0"/>
                <w:sz w:val="22"/>
                <w:szCs w:val="22"/>
                <w:u w:val="none"/>
                <w:lang w:val="en-US" w:eastAsia="zh-CN" w:bidi="ar"/>
              </w:rPr>
            </w:pPr>
            <w:r>
              <w:rPr>
                <w:rFonts w:hint="eastAsia" w:ascii="仿宋_GB2312" w:hAnsi="宋体" w:eastAsia="仿宋_GB2312" w:cs="仿宋_GB2312"/>
                <w:i w:val="0"/>
                <w:iCs w:val="0"/>
                <w:color w:val="000000"/>
                <w:kern w:val="0"/>
                <w:sz w:val="22"/>
                <w:szCs w:val="22"/>
                <w:u w:val="none"/>
                <w:lang w:val="en-US" w:eastAsia="zh-CN" w:bidi="ar"/>
              </w:rPr>
              <w:t>5</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63C0">
            <w:pPr>
              <w:keepNext w:val="0"/>
              <w:keepLines w:val="0"/>
              <w:widowControl/>
              <w:suppressLineNumbers w:val="0"/>
              <w:jc w:val="center"/>
              <w:textAlignment w:val="center"/>
              <w:rPr>
                <w:rStyle w:val="17"/>
                <w:rFonts w:hAnsi="宋体"/>
                <w:lang w:val="en-US" w:eastAsia="zh-CN" w:bidi="ar"/>
              </w:rPr>
            </w:pPr>
            <w:r>
              <w:rPr>
                <w:rStyle w:val="17"/>
                <w:rFonts w:hAnsi="宋体"/>
                <w:lang w:val="en-US" w:eastAsia="zh-CN" w:bidi="ar"/>
              </w:rPr>
              <w:t>会议接待费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469A56">
            <w:pPr>
              <w:keepNext w:val="0"/>
              <w:keepLines w:val="0"/>
              <w:widowControl/>
              <w:suppressLineNumbers w:val="0"/>
              <w:jc w:val="center"/>
              <w:textAlignment w:val="center"/>
              <w:rPr>
                <w:rStyle w:val="18"/>
                <w:lang w:val="en-US" w:eastAsia="zh-CN" w:bidi="ar"/>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327A7">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2.036</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AE7990">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2.036</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C9D4C">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11B1E">
            <w:pPr>
              <w:keepNext w:val="0"/>
              <w:keepLines w:val="0"/>
              <w:widowControl/>
              <w:suppressLineNumbers w:val="0"/>
              <w:jc w:val="both"/>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76B79">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该项目绩效自评为优秀。我们会合理安排使用此项资金，保证该项目正常开展。</w:t>
            </w:r>
          </w:p>
        </w:tc>
      </w:tr>
      <w:tr w14:paraId="6F4CF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0C3C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6</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F0976">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Style w:val="17"/>
                <w:rFonts w:hAnsi="宋体"/>
                <w:lang w:val="en-US" w:eastAsia="zh-CN" w:bidi="ar"/>
              </w:rPr>
              <w:t>人民代表大会会议费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CF0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D42EBA">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38.1262</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52852">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38.1262</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F377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B2B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022F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该项目绩效自评为优秀。以后我们会合理安排使用此项资金，保证该项目正常开展。</w:t>
            </w:r>
          </w:p>
        </w:tc>
      </w:tr>
      <w:tr w14:paraId="522B6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D1297">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Fonts w:hint="eastAsia" w:ascii="仿宋_GB2312" w:hAnsi="宋体" w:eastAsia="仿宋_GB2312" w:cs="仿宋_GB2312"/>
                <w:i w:val="0"/>
                <w:iCs w:val="0"/>
                <w:color w:val="000000"/>
                <w:kern w:val="0"/>
                <w:sz w:val="22"/>
                <w:szCs w:val="22"/>
                <w:u w:val="none"/>
                <w:lang w:val="en-US" w:eastAsia="zh-CN" w:bidi="ar"/>
              </w:rPr>
              <w:t>7</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B204A">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Style w:val="17"/>
                <w:rFonts w:hAnsi="宋体"/>
                <w:lang w:val="en-US" w:eastAsia="zh-CN" w:bidi="ar"/>
              </w:rPr>
              <w:t>涉军公益岗工资</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C1D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2FBA7">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9.243648</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B2184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9.243648</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2482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F2DA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CCD2">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该项目绩效自评为优秀。我们会合理安排使用此项资金，保证该项目正常开展。</w:t>
            </w:r>
          </w:p>
        </w:tc>
      </w:tr>
      <w:tr w14:paraId="12AE92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74" w:hRule="atLeast"/>
          <w:jc w:val="center"/>
        </w:trPr>
        <w:tc>
          <w:tcPr>
            <w:tcW w:w="3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02557">
            <w:pPr>
              <w:keepNext w:val="0"/>
              <w:keepLines w:val="0"/>
              <w:widowControl/>
              <w:suppressLineNumbers w:val="0"/>
              <w:jc w:val="center"/>
              <w:textAlignment w:val="center"/>
              <w:rPr>
                <w:rFonts w:hint="default" w:ascii="仿宋_GB2312" w:hAnsi="宋体" w:eastAsia="仿宋_GB2312" w:cs="仿宋_GB2312"/>
                <w:i w:val="0"/>
                <w:iCs w:val="0"/>
                <w:color w:val="000000"/>
                <w:sz w:val="22"/>
                <w:szCs w:val="22"/>
                <w:u w:val="none"/>
                <w:lang w:val="en-US"/>
              </w:rPr>
            </w:pPr>
            <w:r>
              <w:rPr>
                <w:rFonts w:hint="eastAsia" w:ascii="仿宋_GB2312" w:hAnsi="宋体" w:eastAsia="仿宋_GB2312" w:cs="仿宋_GB2312"/>
                <w:i w:val="0"/>
                <w:iCs w:val="0"/>
                <w:color w:val="000000"/>
                <w:kern w:val="0"/>
                <w:sz w:val="22"/>
                <w:szCs w:val="22"/>
                <w:u w:val="none"/>
                <w:lang w:val="en-US" w:eastAsia="zh-CN" w:bidi="ar"/>
              </w:rPr>
              <w:t>8</w:t>
            </w:r>
          </w:p>
        </w:tc>
        <w:tc>
          <w:tcPr>
            <w:tcW w:w="96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E6EA3">
            <w:pPr>
              <w:keepNext w:val="0"/>
              <w:keepLines w:val="0"/>
              <w:widowControl/>
              <w:suppressLineNumbers w:val="0"/>
              <w:jc w:val="center"/>
              <w:textAlignment w:val="center"/>
              <w:rPr>
                <w:rFonts w:hint="eastAsia" w:ascii="仿宋_GB2312" w:hAnsi="宋体" w:eastAsia="仿宋_GB2312" w:cs="仿宋_GB2312"/>
                <w:i w:val="0"/>
                <w:iCs w:val="0"/>
                <w:color w:val="000000"/>
                <w:sz w:val="22"/>
                <w:szCs w:val="22"/>
                <w:u w:val="none"/>
              </w:rPr>
            </w:pPr>
            <w:r>
              <w:rPr>
                <w:rStyle w:val="17"/>
                <w:rFonts w:hAnsi="宋体"/>
                <w:lang w:val="en-US" w:eastAsia="zh-CN" w:bidi="ar"/>
              </w:rPr>
              <w:t>专项业务费</w:t>
            </w:r>
          </w:p>
        </w:tc>
        <w:tc>
          <w:tcPr>
            <w:tcW w:w="137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8410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Style w:val="18"/>
                <w:lang w:val="en-US" w:eastAsia="zh-CN" w:bidi="ar"/>
              </w:rPr>
              <w:t>石家庄市鹿泉区人民代表大会常务委员会</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09C1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3.75</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0AD97">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3.75</w:t>
            </w:r>
          </w:p>
        </w:tc>
        <w:tc>
          <w:tcPr>
            <w:tcW w:w="3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C151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0</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A93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c>
          <w:tcPr>
            <w:tcW w:w="279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045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该项目绩效自评为优秀。我们会继续保证资金充足，保证工作正常开展，促进项目高质量发展。</w:t>
            </w:r>
          </w:p>
        </w:tc>
      </w:tr>
    </w:tbl>
    <w:p w14:paraId="3EC9DD3B">
      <w:pPr>
        <w:pStyle w:val="16"/>
        <w:rPr>
          <w:rFonts w:hint="eastAsia" w:ascii="仿宋" w:hAnsi="仿宋" w:eastAsia="仿宋"/>
          <w:sz w:val="32"/>
          <w:szCs w:val="32"/>
        </w:rPr>
      </w:pPr>
    </w:p>
    <w:p w14:paraId="34A8C642">
      <w:pPr>
        <w:pageBreakBefore w:val="0"/>
        <w:widowControl w:val="0"/>
        <w:kinsoku/>
        <w:wordWrap/>
        <w:overflowPunct/>
        <w:topLinePunct w:val="0"/>
        <w:autoSpaceDE/>
        <w:autoSpaceDN/>
        <w:bidi w:val="0"/>
        <w:spacing w:line="540"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14:paraId="73D82162">
      <w:pPr>
        <w:pageBreakBefore w:val="0"/>
        <w:widowControl w:val="0"/>
        <w:kinsoku/>
        <w:wordWrap/>
        <w:overflowPunct/>
        <w:topLinePunct w:val="0"/>
        <w:autoSpaceDE/>
        <w:autoSpaceDN/>
        <w:bidi w:val="0"/>
        <w:spacing w:line="540" w:lineRule="exact"/>
        <w:ind w:left="0" w:leftChars="0" w:right="0" w:rightChars="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14:paraId="7191E39F">
      <w:pPr>
        <w:pStyle w:val="8"/>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eastAsia" w:ascii="仿宋" w:hAnsi="仿宋" w:eastAsia="仿宋"/>
          <w:b w:val="0"/>
          <w:bCs w:val="0"/>
          <w:sz w:val="32"/>
          <w:szCs w:val="32"/>
          <w:lang w:val="en-US" w:eastAsia="zh-CN"/>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预算过程绩效管理制度体系不健全，需进一步完善；全面推进预算绩效管理工作贯彻不到位，需进一步加强；对自身预算绩效管理不到位，需进一步落实；填报预算数字存在不准确，需进一步细致。</w:t>
      </w:r>
    </w:p>
    <w:p w14:paraId="1D8ABA23">
      <w:pPr>
        <w:pStyle w:val="8"/>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textAlignment w:val="baseline"/>
        <w:rPr>
          <w:rFonts w:hint="default" w:eastAsia="仿宋"/>
          <w:b w:val="0"/>
          <w:bCs w:val="0"/>
          <w:sz w:val="32"/>
          <w:szCs w:val="32"/>
          <w:lang w:val="en-US" w:eastAsia="zh-CN"/>
        </w:rPr>
      </w:pPr>
      <w:r>
        <w:rPr>
          <w:rFonts w:hint="eastAsia" w:ascii="仿宋" w:hAnsi="仿宋" w:eastAsia="仿宋"/>
          <w:b w:val="0"/>
          <w:bCs w:val="0"/>
          <w:sz w:val="32"/>
          <w:szCs w:val="32"/>
          <w:lang w:val="en-US" w:eastAsia="zh-CN"/>
        </w:rPr>
        <w:t>究其原因：一是经办人员业务能力有待提高；二是预算执行和绩效管理的监督管理不到位。</w:t>
      </w:r>
    </w:p>
    <w:p w14:paraId="13BB3379">
      <w:pPr>
        <w:pageBreakBefore w:val="0"/>
        <w:widowControl w:val="0"/>
        <w:numPr>
          <w:ilvl w:val="0"/>
          <w:numId w:val="0"/>
        </w:numPr>
        <w:kinsoku/>
        <w:wordWrap/>
        <w:overflowPunct/>
        <w:topLinePunct w:val="0"/>
        <w:autoSpaceDE/>
        <w:autoSpaceDN/>
        <w:bidi w:val="0"/>
        <w:spacing w:line="540" w:lineRule="exact"/>
        <w:ind w:leftChars="200" w:right="0" w:rightChars="0"/>
        <w:textAlignment w:val="auto"/>
        <w:outlineLvl w:val="9"/>
        <w:rPr>
          <w:b/>
          <w:bCs/>
        </w:rPr>
      </w:pPr>
      <w:r>
        <w:rPr>
          <w:rFonts w:hint="eastAsia" w:ascii="仿宋" w:hAnsi="仿宋" w:eastAsia="仿宋"/>
          <w:b/>
          <w:bCs/>
          <w:sz w:val="32"/>
          <w:szCs w:val="32"/>
          <w:lang w:eastAsia="zh-CN"/>
        </w:rPr>
        <w:t>（二）</w:t>
      </w:r>
      <w:r>
        <w:rPr>
          <w:rFonts w:hint="eastAsia" w:ascii="仿宋" w:hAnsi="仿宋" w:eastAsia="仿宋"/>
          <w:b/>
          <w:bCs/>
          <w:sz w:val="32"/>
          <w:szCs w:val="32"/>
        </w:rPr>
        <w:t>针对问题提出具体的改进措施或建议</w:t>
      </w:r>
    </w:p>
    <w:p w14:paraId="1164725F">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一是加强领导，精心组织，逐步推开，实现编制预算绩效目标全覆盖。</w:t>
      </w:r>
    </w:p>
    <w:p w14:paraId="6EAC1D16">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二是完善相关制度，推进制度落实。</w:t>
      </w:r>
    </w:p>
    <w:p w14:paraId="22723F5C">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三是细化预算编制工作，认真做好预算编制。</w:t>
      </w:r>
    </w:p>
    <w:p w14:paraId="61AC78F0">
      <w:pPr>
        <w:pStyle w:val="8"/>
        <w:pageBreakBefore w:val="0"/>
        <w:widowControl w:val="0"/>
        <w:kinsoku/>
        <w:wordWrap/>
        <w:overflowPunct/>
        <w:topLinePunct w:val="0"/>
        <w:autoSpaceDE/>
        <w:autoSpaceDN/>
        <w:bidi w:val="0"/>
        <w:spacing w:line="540" w:lineRule="exact"/>
        <w:ind w:right="0" w:rightChars="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四是加强财务管理，严格财务审核。</w:t>
      </w:r>
    </w:p>
    <w:p w14:paraId="0427F9AC">
      <w:pPr>
        <w:pStyle w:val="8"/>
        <w:pageBreakBefore w:val="0"/>
        <w:widowControl w:val="0"/>
        <w:kinsoku/>
        <w:wordWrap/>
        <w:overflowPunct/>
        <w:topLinePunct w:val="0"/>
        <w:autoSpaceDE/>
        <w:autoSpaceDN/>
        <w:bidi w:val="0"/>
        <w:spacing w:line="540" w:lineRule="exact"/>
        <w:ind w:right="0" w:rightChars="0"/>
        <w:rPr>
          <w:rFonts w:hint="default"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五是加强项目开展进度的跟踪，开展项目事前、事中、事后绩效跟踪评价。</w:t>
      </w:r>
    </w:p>
    <w:p w14:paraId="267C9380">
      <w:pPr>
        <w:pStyle w:val="3"/>
        <w:pageBreakBefore w:val="0"/>
        <w:widowControl w:val="0"/>
        <w:kinsoku/>
        <w:wordWrap/>
        <w:overflowPunct/>
        <w:topLinePunct w:val="0"/>
        <w:autoSpaceDE/>
        <w:autoSpaceDN/>
        <w:bidi w:val="0"/>
        <w:spacing w:before="0" w:beforeLines="0" w:after="0" w:afterLines="0" w:line="550" w:lineRule="exact"/>
        <w:ind w:leftChars="0" w:firstLine="640" w:firstLineChars="200"/>
        <w:textAlignment w:val="auto"/>
        <w:rPr>
          <w:rFonts w:hint="eastAsia" w:ascii="宋体" w:hAnsi="宋体"/>
        </w:rPr>
      </w:pPr>
      <w:r>
        <w:rPr>
          <w:rFonts w:hint="eastAsia" w:ascii="宋体" w:hAnsi="宋体"/>
          <w:lang w:eastAsia="zh-CN"/>
        </w:rPr>
        <w:t>六、</w:t>
      </w:r>
      <w:r>
        <w:rPr>
          <w:rFonts w:hint="eastAsia" w:ascii="宋体" w:hAnsi="宋体"/>
        </w:rPr>
        <w:t>评价工作组人员名单及签字</w:t>
      </w:r>
    </w:p>
    <w:p w14:paraId="7061A414">
      <w:pPr>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lang w:eastAsia="zh-CN"/>
        </w:rPr>
        <w:t>李志强</w:t>
      </w:r>
      <w:r>
        <w:rPr>
          <w:rFonts w:hint="eastAsia" w:ascii="宋体" w:hAnsi="宋体" w:eastAsia="仿宋_GB2312" w:cs="仿宋_GB2312"/>
          <w:sz w:val="32"/>
          <w:szCs w:val="32"/>
        </w:rPr>
        <w:t>：   区</w:t>
      </w:r>
      <w:r>
        <w:rPr>
          <w:rFonts w:hint="eastAsia" w:ascii="宋体" w:hAnsi="宋体" w:eastAsia="仿宋_GB2312" w:cs="仿宋_GB2312"/>
          <w:sz w:val="32"/>
          <w:szCs w:val="32"/>
          <w:lang w:eastAsia="zh-CN"/>
        </w:rPr>
        <w:t>人大常委会办公室</w:t>
      </w:r>
      <w:r>
        <w:rPr>
          <w:rFonts w:hint="eastAsia" w:ascii="宋体" w:hAnsi="宋体" w:eastAsia="仿宋_GB2312" w:cs="仿宋_GB2312"/>
          <w:sz w:val="32"/>
          <w:szCs w:val="32"/>
        </w:rPr>
        <w:t xml:space="preserve">主任                                                   </w:t>
      </w:r>
    </w:p>
    <w:p w14:paraId="0C7E2F86">
      <w:pPr>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lang w:eastAsia="zh-CN"/>
        </w:rPr>
        <w:t>常安安</w:t>
      </w:r>
      <w:r>
        <w:rPr>
          <w:rFonts w:hint="eastAsia" w:ascii="宋体" w:hAnsi="宋体" w:eastAsia="仿宋_GB2312" w:cs="仿宋_GB2312"/>
          <w:sz w:val="32"/>
          <w:szCs w:val="32"/>
        </w:rPr>
        <w:t>：   区</w:t>
      </w:r>
      <w:r>
        <w:rPr>
          <w:rFonts w:hint="eastAsia" w:ascii="宋体" w:hAnsi="宋体" w:eastAsia="仿宋_GB2312" w:cs="仿宋_GB2312"/>
          <w:sz w:val="32"/>
          <w:szCs w:val="32"/>
          <w:lang w:eastAsia="zh-CN"/>
        </w:rPr>
        <w:t>人大常委会办公室副</w:t>
      </w:r>
      <w:r>
        <w:rPr>
          <w:rFonts w:hint="eastAsia" w:ascii="宋体" w:hAnsi="宋体" w:eastAsia="仿宋_GB2312" w:cs="仿宋_GB2312"/>
          <w:sz w:val="32"/>
          <w:szCs w:val="32"/>
        </w:rPr>
        <w:t>主任</w:t>
      </w:r>
    </w:p>
    <w:p w14:paraId="2E8A2441">
      <w:pPr>
        <w:pageBreakBefore w:val="0"/>
        <w:widowControl w:val="0"/>
        <w:kinsoku/>
        <w:wordWrap/>
        <w:overflowPunct/>
        <w:topLinePunct w:val="0"/>
        <w:autoSpaceDE/>
        <w:autoSpaceDN/>
        <w:bidi w:val="0"/>
        <w:adjustRightInd w:val="0"/>
        <w:snapToGrid w:val="0"/>
        <w:spacing w:line="550" w:lineRule="exact"/>
        <w:ind w:leftChars="0" w:firstLine="640" w:firstLineChars="200"/>
        <w:textAlignment w:val="auto"/>
        <w:rPr>
          <w:b w:val="0"/>
          <w:bCs/>
        </w:rPr>
      </w:pPr>
      <w:r>
        <w:rPr>
          <w:rFonts w:hint="eastAsia" w:ascii="宋体" w:hAnsi="宋体" w:eastAsia="仿宋_GB2312" w:cs="仿宋_GB2312"/>
          <w:sz w:val="32"/>
          <w:szCs w:val="32"/>
          <w:lang w:eastAsia="zh-CN"/>
        </w:rPr>
        <w:t>吴彦敏</w:t>
      </w:r>
      <w:r>
        <w:rPr>
          <w:rFonts w:hint="eastAsia" w:ascii="宋体" w:hAnsi="宋体" w:eastAsia="仿宋_GB2312" w:cs="仿宋_GB2312"/>
          <w:sz w:val="32"/>
          <w:szCs w:val="32"/>
        </w:rPr>
        <w:t xml:space="preserve">： </w:t>
      </w:r>
      <w:r>
        <w:rPr>
          <w:rFonts w:hint="eastAsia" w:ascii="宋体" w:hAnsi="宋体" w:eastAsia="仿宋_GB2312" w:cs="仿宋_GB2312"/>
          <w:sz w:val="32"/>
          <w:szCs w:val="32"/>
          <w:lang w:val="en-US" w:eastAsia="zh-CN"/>
        </w:rPr>
        <w:t xml:space="preserve"> </w:t>
      </w:r>
      <w:r>
        <w:rPr>
          <w:rFonts w:hint="eastAsia" w:ascii="宋体" w:hAnsi="宋体" w:eastAsia="仿宋_GB2312" w:cs="仿宋_GB2312"/>
          <w:sz w:val="32"/>
          <w:szCs w:val="32"/>
        </w:rPr>
        <w:t xml:space="preserve"> 区</w:t>
      </w:r>
      <w:r>
        <w:rPr>
          <w:rFonts w:hint="eastAsia" w:ascii="宋体" w:hAnsi="宋体" w:eastAsia="仿宋_GB2312" w:cs="仿宋_GB2312"/>
          <w:sz w:val="32"/>
          <w:szCs w:val="32"/>
          <w:lang w:eastAsia="zh-CN"/>
        </w:rPr>
        <w:t>人大常委会办公室财务</w:t>
      </w:r>
    </w:p>
    <w:p w14:paraId="3112F388">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p>
    <w:p w14:paraId="47857BC8">
      <w:pPr>
        <w:pageBreakBefore w:val="0"/>
        <w:widowControl w:val="0"/>
        <w:kinsoku/>
        <w:wordWrap/>
        <w:overflowPunct/>
        <w:topLinePunct w:val="0"/>
        <w:autoSpaceDE/>
        <w:autoSpaceDN/>
        <w:bidi w:val="0"/>
        <w:adjustRightInd/>
        <w:snapToGrid/>
        <w:spacing w:line="550" w:lineRule="exact"/>
        <w:textAlignment w:val="auto"/>
        <w:rPr>
          <w:rFonts w:hint="eastAsia" w:ascii="宋体" w:hAnsi="宋体" w:eastAsia="仿宋_GB2312" w:cs="仿宋_GB2312"/>
          <w:sz w:val="32"/>
          <w:szCs w:val="32"/>
          <w:lang w:val="en-US" w:eastAsia="zh-CN"/>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仿宋_GBK">
    <w:altName w:val="Arial Unicode MS"/>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FF082">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DDD949">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EDDD949">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DC026D"/>
    <w:multiLevelType w:val="singleLevel"/>
    <w:tmpl w:val="99DC026D"/>
    <w:lvl w:ilvl="0" w:tentative="0">
      <w:start w:val="1"/>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NkNjJjMjk0OGI0NWIyM2UyZWQwYjI2NzY4NjliYTIifQ=="/>
  </w:docVars>
  <w:rsids>
    <w:rsidRoot w:val="00000000"/>
    <w:rsid w:val="0463522E"/>
    <w:rsid w:val="07994268"/>
    <w:rsid w:val="0D6B07C9"/>
    <w:rsid w:val="101747CE"/>
    <w:rsid w:val="13007A3D"/>
    <w:rsid w:val="173D5B03"/>
    <w:rsid w:val="1CD203FA"/>
    <w:rsid w:val="29CA1C81"/>
    <w:rsid w:val="2E3327E8"/>
    <w:rsid w:val="365E4655"/>
    <w:rsid w:val="38EA6FCF"/>
    <w:rsid w:val="393F251C"/>
    <w:rsid w:val="39502C3D"/>
    <w:rsid w:val="3DF8B875"/>
    <w:rsid w:val="3E9D2A63"/>
    <w:rsid w:val="3F9D555A"/>
    <w:rsid w:val="45B925DE"/>
    <w:rsid w:val="4F532425"/>
    <w:rsid w:val="56603B62"/>
    <w:rsid w:val="61942BFF"/>
    <w:rsid w:val="62DC1205"/>
    <w:rsid w:val="63C54DE7"/>
    <w:rsid w:val="65D50ABD"/>
    <w:rsid w:val="69534AB5"/>
    <w:rsid w:val="6D7014D0"/>
    <w:rsid w:val="6E5F46BA"/>
    <w:rsid w:val="77196A15"/>
    <w:rsid w:val="7CDB0D73"/>
    <w:rsid w:val="7CEE43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sz w:val="32"/>
    </w:rPr>
  </w:style>
  <w:style w:type="paragraph" w:styleId="4">
    <w:name w:val="heading 3"/>
    <w:basedOn w:val="1"/>
    <w:next w:val="1"/>
    <w:link w:val="11"/>
    <w:semiHidden/>
    <w:unhideWhenUsed/>
    <w:qFormat/>
    <w:uiPriority w:val="0"/>
    <w:pPr>
      <w:keepNext/>
      <w:keepLines/>
      <w:spacing w:before="260" w:beforeLines="0" w:beforeAutospacing="0" w:after="260" w:afterLines="0" w:afterAutospacing="0" w:line="413" w:lineRule="auto"/>
      <w:outlineLvl w:val="2"/>
    </w:pPr>
    <w:rPr>
      <w:rFonts w:eastAsia="楷体_GB2312" w:asciiTheme="minorAscii" w:hAnsiTheme="minorAscii"/>
      <w:sz w:val="32"/>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Indent"/>
    <w:basedOn w:val="1"/>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Body Text First Indent 2"/>
    <w:basedOn w:val="5"/>
    <w:qFormat/>
    <w:uiPriority w:val="0"/>
    <w:pPr>
      <w:ind w:firstLine="420"/>
    </w:pPr>
    <w:rPr>
      <w:rFonts w:ascii="Times New Roman" w:hAnsi="Times New Roman" w:eastAsia="宋体" w:cs="Times New Roman"/>
    </w:rPr>
  </w:style>
  <w:style w:type="character" w:customStyle="1" w:styleId="11">
    <w:name w:val="标题 3 Char"/>
    <w:link w:val="4"/>
    <w:qFormat/>
    <w:uiPriority w:val="0"/>
    <w:rPr>
      <w:rFonts w:eastAsia="楷体_GB2312" w:asciiTheme="minorAscii" w:hAnsiTheme="minorAscii"/>
      <w:sz w:val="32"/>
    </w:rPr>
  </w:style>
  <w:style w:type="paragraph" w:customStyle="1" w:styleId="12">
    <w:name w:val="No Spacing"/>
    <w:qFormat/>
    <w:uiPriority w:val="1"/>
    <w:pPr>
      <w:widowControl w:val="0"/>
      <w:jc w:val="both"/>
    </w:pPr>
    <w:rPr>
      <w:rFonts w:ascii="宋体" w:hAnsi="宋体" w:eastAsia="仿宋_GB2312" w:cs="Times New Roman"/>
      <w:kern w:val="2"/>
      <w:sz w:val="32"/>
      <w:szCs w:val="22"/>
      <w:lang w:val="en-US" w:eastAsia="zh-CN" w:bidi="ar-SA"/>
    </w:rPr>
  </w:style>
  <w:style w:type="paragraph" w:customStyle="1" w:styleId="13">
    <w:name w:val="无间隔1"/>
    <w:basedOn w:val="1"/>
    <w:qFormat/>
    <w:uiPriority w:val="0"/>
    <w:rPr>
      <w:rFonts w:ascii="宋体" w:hAnsi="宋体" w:eastAsia="仿宋_GB2312"/>
      <w:sz w:val="32"/>
      <w:szCs w:val="32"/>
    </w:rPr>
  </w:style>
  <w:style w:type="paragraph" w:customStyle="1" w:styleId="1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7">
    <w:name w:val="font41"/>
    <w:basedOn w:val="10"/>
    <w:qFormat/>
    <w:uiPriority w:val="0"/>
    <w:rPr>
      <w:rFonts w:hint="eastAsia" w:ascii="仿宋_GB2312" w:eastAsia="仿宋_GB2312" w:cs="仿宋_GB2312"/>
      <w:color w:val="000000"/>
      <w:sz w:val="22"/>
      <w:szCs w:val="22"/>
      <w:u w:val="none"/>
    </w:rPr>
  </w:style>
  <w:style w:type="character" w:customStyle="1" w:styleId="18">
    <w:name w:val="font51"/>
    <w:basedOn w:val="10"/>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4372</Words>
  <Characters>4613</Characters>
  <Lines>0</Lines>
  <Paragraphs>0</Paragraphs>
  <TotalTime>1</TotalTime>
  <ScaleCrop>false</ScaleCrop>
  <LinksUpToDate>false</LinksUpToDate>
  <CharactersWithSpaces>4683</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2021-07-13T13:26:00Z</dcterms:created>
  <dc:creator>DELL</dc:creator>
  <cp:lastModifiedBy>DELL</cp:lastModifiedBy>
  <dcterms:modified xsi:type="dcterms:W3CDTF">2025-01-02T03:09:23Z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A6769BE8240D4476A3659A2B58F26223_12</vt:lpwstr>
  </property>
  <property fmtid="{D5CDD505-2E9C-101B-9397-08002B2CF9AE}" pid="4" name="KSOTemplateDocerSaveRecord">
    <vt:lpwstr>eyJoZGlkIjoiMWM0YjBiYzBjYWUyZjcwMTEzZTJkMjkwZjk0NTU2NDMifQ==</vt:lpwstr>
  </property>
</Properties>
</file>