
<file path=[Content_Types].xml><?xml version="1.0" encoding="utf-8"?>
<Types xmlns="http://schemas.openxmlformats.org/package/2006/content-types">
  <Default Extension="xlsx" ContentType="application/vnd.openxmlformats-officedocument.spreadsheetml.sheet"/>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style1.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hd w:val="clear" w:color="auto" w:fill="FFFFFF"/>
        <w:spacing w:line="315" w:lineRule="atLeast"/>
        <w:ind w:firstLine="480"/>
        <w:jc w:val="center"/>
        <w:rPr>
          <w:rFonts w:ascii="宋体" w:hAnsi="宋体"/>
          <w:b/>
          <w:bCs/>
          <w:color w:val="003366"/>
          <w:sz w:val="52"/>
          <w:szCs w:val="52"/>
          <w:shd w:val="clear" w:color="auto" w:fill="FFFFFF"/>
        </w:rPr>
      </w:pPr>
    </w:p>
    <w:p>
      <w:pPr>
        <w:widowControl/>
        <w:shd w:val="clear" w:color="auto" w:fill="FFFFFF"/>
        <w:spacing w:line="315" w:lineRule="atLeast"/>
        <w:ind w:firstLine="480"/>
        <w:jc w:val="center"/>
        <w:rPr>
          <w:rFonts w:ascii="宋体" w:hAnsi="宋体"/>
          <w:b/>
          <w:bCs/>
          <w:color w:val="003366"/>
          <w:sz w:val="52"/>
          <w:szCs w:val="52"/>
          <w:shd w:val="clear" w:color="auto" w:fill="FFFFFF"/>
        </w:rPr>
      </w:pPr>
    </w:p>
    <w:p>
      <w:pPr>
        <w:widowControl/>
        <w:shd w:val="clear" w:color="auto" w:fill="FFFFFF"/>
        <w:spacing w:line="315" w:lineRule="atLeast"/>
        <w:ind w:firstLine="480"/>
        <w:jc w:val="center"/>
        <w:rPr>
          <w:rFonts w:ascii="宋体" w:hAnsi="宋体"/>
          <w:b/>
          <w:bCs/>
          <w:color w:val="003366"/>
          <w:sz w:val="52"/>
          <w:szCs w:val="52"/>
          <w:shd w:val="clear" w:color="auto" w:fill="FFFFFF"/>
        </w:rPr>
      </w:pPr>
      <w:bookmarkStart w:id="0" w:name="_GoBack"/>
      <w:r>
        <w:rPr>
          <w:rFonts w:hint="eastAsia" w:ascii="宋体" w:hAnsi="宋体"/>
          <w:b/>
          <w:bCs/>
          <w:color w:val="003366"/>
          <w:sz w:val="52"/>
          <w:szCs w:val="52"/>
          <w:shd w:val="clear" w:color="auto" w:fill="FFFFFF"/>
        </w:rPr>
        <w:t>2017年度部门决算公开</w:t>
      </w:r>
    </w:p>
    <w:bookmarkEnd w:id="0"/>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36"/>
          <w:szCs w:val="36"/>
          <w:shd w:val="clear" w:color="auto" w:fill="FFFFFF"/>
        </w:rPr>
      </w:pPr>
      <w:r>
        <w:rPr>
          <w:rFonts w:hint="eastAsia" w:ascii="宋体" w:hAnsi="宋体"/>
          <w:b/>
          <w:bCs/>
          <w:color w:val="003366"/>
          <w:sz w:val="36"/>
          <w:szCs w:val="36"/>
          <w:shd w:val="clear" w:color="auto" w:fill="FFFFFF"/>
        </w:rPr>
        <w:t>鹿泉区上寨乡人民政府</w:t>
      </w:r>
    </w:p>
    <w:p>
      <w:pPr>
        <w:widowControl/>
        <w:shd w:val="clear" w:color="auto" w:fill="FFFFFF"/>
        <w:spacing w:line="315" w:lineRule="atLeast"/>
        <w:ind w:firstLine="480"/>
        <w:jc w:val="center"/>
        <w:rPr>
          <w:rFonts w:ascii="宋体" w:hAnsi="宋体"/>
          <w:b/>
          <w:bCs/>
          <w:color w:val="003366"/>
          <w:sz w:val="36"/>
          <w:szCs w:val="36"/>
          <w:shd w:val="clear" w:color="auto" w:fill="FFFFFF"/>
        </w:rPr>
      </w:pPr>
      <w:r>
        <w:rPr>
          <w:rFonts w:hint="eastAsia" w:ascii="宋体" w:hAnsi="宋体"/>
          <w:b/>
          <w:bCs/>
          <w:color w:val="003366"/>
          <w:sz w:val="36"/>
          <w:szCs w:val="36"/>
          <w:shd w:val="clear" w:color="auto" w:fill="FFFFFF"/>
        </w:rPr>
        <w:t>2018年9月3日</w:t>
      </w: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widowControl/>
        <w:shd w:val="clear" w:color="auto" w:fill="FFFFFF"/>
        <w:spacing w:line="315" w:lineRule="atLeast"/>
        <w:ind w:firstLine="480"/>
        <w:jc w:val="center"/>
        <w:rPr>
          <w:rFonts w:ascii="宋体" w:hAnsi="宋体"/>
          <w:b/>
          <w:bCs/>
          <w:color w:val="003366"/>
          <w:sz w:val="44"/>
          <w:szCs w:val="44"/>
          <w:shd w:val="clear" w:color="auto" w:fill="FFFFFF"/>
        </w:rPr>
      </w:pPr>
    </w:p>
    <w:p>
      <w:pPr>
        <w:ind w:firstLine="880"/>
        <w:jc w:val="center"/>
        <w:rPr>
          <w:rFonts w:ascii="方正小标宋_GBK" w:eastAsia="方正小标宋_GBK"/>
          <w:sz w:val="44"/>
          <w:szCs w:val="44"/>
        </w:rPr>
      </w:pPr>
      <w:r>
        <w:rPr>
          <w:rFonts w:hint="eastAsia" w:ascii="宋体" w:hAnsi="宋体"/>
          <w:b/>
          <w:bCs/>
          <w:color w:val="003366"/>
          <w:sz w:val="30"/>
          <w:szCs w:val="30"/>
          <w:shd w:val="clear" w:color="auto" w:fill="FFFFFF"/>
        </w:rPr>
        <w:t>目录</w:t>
      </w:r>
    </w:p>
    <w:p>
      <w:pPr>
        <w:ind w:firstLine="640"/>
        <w:rPr>
          <w:rFonts w:ascii="黑体" w:hAnsi="黑体" w:eastAsia="黑体"/>
          <w:szCs w:val="32"/>
        </w:rPr>
      </w:pPr>
    </w:p>
    <w:p>
      <w:pPr>
        <w:ind w:firstLine="640"/>
        <w:rPr>
          <w:rFonts w:ascii="仿宋_GB2312" w:hAnsi="黑体" w:eastAsia="仿宋_GB2312"/>
          <w:sz w:val="28"/>
          <w:szCs w:val="28"/>
        </w:rPr>
      </w:pPr>
      <w:r>
        <w:rPr>
          <w:rFonts w:hint="eastAsia" w:ascii="仿宋_GB2312" w:hAnsi="黑体" w:eastAsia="仿宋_GB2312"/>
          <w:sz w:val="28"/>
          <w:szCs w:val="28"/>
        </w:rPr>
        <w:t>第一部分  上寨乡人民政府概况</w:t>
      </w:r>
    </w:p>
    <w:p>
      <w:pPr>
        <w:ind w:firstLine="640"/>
        <w:rPr>
          <w:rFonts w:ascii="仿宋_GB2312" w:hAnsi="黑体" w:eastAsia="仿宋_GB2312" w:cs="黑体"/>
          <w:kern w:val="0"/>
          <w:sz w:val="28"/>
          <w:szCs w:val="28"/>
        </w:rPr>
      </w:pPr>
      <w:r>
        <w:rPr>
          <w:rFonts w:hint="eastAsia" w:ascii="仿宋_GB2312" w:hAnsi="黑体" w:eastAsia="仿宋_GB2312" w:cs="黑体"/>
          <w:kern w:val="0"/>
          <w:sz w:val="28"/>
          <w:szCs w:val="28"/>
        </w:rPr>
        <w:t xml:space="preserve">    一、部门职责</w:t>
      </w:r>
    </w:p>
    <w:p>
      <w:pPr>
        <w:ind w:firstLine="640"/>
        <w:rPr>
          <w:rFonts w:ascii="仿宋_GB2312" w:hAnsi="黑体" w:eastAsia="仿宋_GB2312"/>
          <w:sz w:val="28"/>
          <w:szCs w:val="28"/>
        </w:rPr>
      </w:pPr>
      <w:r>
        <w:rPr>
          <w:rFonts w:hint="eastAsia" w:ascii="仿宋_GB2312" w:hAnsi="黑体" w:eastAsia="仿宋_GB2312" w:cs="黑体"/>
          <w:kern w:val="0"/>
          <w:sz w:val="28"/>
          <w:szCs w:val="28"/>
        </w:rPr>
        <w:t xml:space="preserve">    二、部门决算单位构成</w:t>
      </w:r>
    </w:p>
    <w:p>
      <w:pPr>
        <w:ind w:firstLine="640"/>
        <w:rPr>
          <w:rFonts w:ascii="仿宋_GB2312" w:hAnsi="黑体" w:eastAsia="仿宋_GB2312"/>
          <w:sz w:val="28"/>
          <w:szCs w:val="28"/>
        </w:rPr>
      </w:pPr>
      <w:r>
        <w:rPr>
          <w:rFonts w:hint="eastAsia" w:ascii="仿宋_GB2312" w:hAnsi="黑体" w:eastAsia="仿宋_GB2312"/>
          <w:sz w:val="28"/>
          <w:szCs w:val="28"/>
        </w:rPr>
        <w:t>第二部分 上寨乡人民政府2017年部门决算报表</w:t>
      </w:r>
    </w:p>
    <w:p>
      <w:pPr>
        <w:rPr>
          <w:rFonts w:ascii="仿宋_GB2312" w:hAnsi="黑体" w:eastAsia="仿宋_GB2312"/>
          <w:sz w:val="28"/>
          <w:szCs w:val="28"/>
        </w:rPr>
      </w:pPr>
      <w:r>
        <w:rPr>
          <w:rFonts w:hint="eastAsia" w:ascii="仿宋_GB2312" w:hAnsi="黑体" w:eastAsia="仿宋_GB2312"/>
          <w:sz w:val="28"/>
          <w:szCs w:val="28"/>
        </w:rPr>
        <w:t xml:space="preserve">        一、收入支出决算总表</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二、收入决算表</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三、支出决算表</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四、财政拨款收入支出决算总表</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五、一般公共预算财政拨款支出决算表</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六、一般公共预算财政拨款基本支出决算表</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七、政府性基金预算财政拨款收支决算表</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八、国有资本经营预算财政拨款支出决算表</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九、“三公”经费支出决算表</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十、政府采购情况表</w:t>
      </w:r>
    </w:p>
    <w:p>
      <w:pPr>
        <w:ind w:firstLine="560" w:firstLineChars="200"/>
        <w:rPr>
          <w:rFonts w:ascii="仿宋_GB2312" w:hAnsi="黑体" w:eastAsia="仿宋_GB2312"/>
          <w:sz w:val="28"/>
          <w:szCs w:val="28"/>
        </w:rPr>
      </w:pPr>
      <w:r>
        <w:rPr>
          <w:rFonts w:hint="eastAsia" w:ascii="仿宋_GB2312" w:hAnsi="黑体" w:eastAsia="仿宋_GB2312"/>
          <w:sz w:val="28"/>
          <w:szCs w:val="28"/>
        </w:rPr>
        <w:t>第三部分  上寨乡人民政府2017年部门决算情况说明</w:t>
      </w:r>
    </w:p>
    <w:p>
      <w:pPr>
        <w:rPr>
          <w:rFonts w:ascii="仿宋_GB2312" w:hAnsi="黑体" w:eastAsia="仿宋_GB2312"/>
          <w:sz w:val="28"/>
          <w:szCs w:val="28"/>
        </w:rPr>
      </w:pPr>
      <w:r>
        <w:rPr>
          <w:rFonts w:hint="eastAsia" w:ascii="仿宋_GB2312" w:hAnsi="黑体" w:eastAsia="仿宋_GB2312"/>
          <w:sz w:val="28"/>
          <w:szCs w:val="28"/>
        </w:rPr>
        <w:t xml:space="preserve">        一、收入支出决算总体情况说明</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二、收入决算情况说明</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三、支出决算情况说明</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四、财政拨款收入支出决算总体情况说明</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五、“三公”经费支出决算情况说明</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六、预算绩效管理工作开展情况说明</w:t>
      </w:r>
    </w:p>
    <w:p>
      <w:pPr>
        <w:ind w:firstLine="560" w:firstLineChars="200"/>
        <w:rPr>
          <w:rFonts w:ascii="仿宋_GB2312" w:hAnsi="黑体" w:eastAsia="仿宋_GB2312"/>
          <w:sz w:val="28"/>
          <w:szCs w:val="28"/>
        </w:rPr>
      </w:pPr>
      <w:r>
        <w:rPr>
          <w:rFonts w:hint="eastAsia" w:ascii="仿宋_GB2312" w:hAnsi="黑体" w:eastAsia="仿宋_GB2312"/>
          <w:sz w:val="28"/>
          <w:szCs w:val="28"/>
        </w:rPr>
        <w:t xml:space="preserve">    七、其他重要事项的说明</w:t>
      </w:r>
    </w:p>
    <w:p>
      <w:pPr>
        <w:ind w:firstLine="640"/>
        <w:rPr>
          <w:rFonts w:ascii="仿宋_GB2312" w:hAnsi="黑体" w:eastAsia="仿宋_GB2312"/>
          <w:sz w:val="28"/>
          <w:szCs w:val="28"/>
        </w:rPr>
      </w:pPr>
      <w:r>
        <w:rPr>
          <w:rFonts w:hint="eastAsia" w:ascii="仿宋_GB2312" w:hAnsi="黑体" w:eastAsia="仿宋_GB2312"/>
          <w:sz w:val="28"/>
          <w:szCs w:val="28"/>
        </w:rPr>
        <w:t>第四部分 名词解释</w:t>
      </w: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b/>
          <w:color w:val="000000"/>
          <w:sz w:val="32"/>
          <w:szCs w:val="32"/>
        </w:rPr>
      </w:pPr>
      <w:r>
        <w:rPr>
          <w:rFonts w:hint="eastAsia" w:ascii="仿宋_GB2312" w:hAnsi="宋体" w:eastAsia="仿宋_GB2312"/>
          <w:b/>
          <w:color w:val="000000"/>
          <w:kern w:val="0"/>
          <w:sz w:val="32"/>
          <w:szCs w:val="32"/>
          <w:shd w:val="clear" w:color="auto" w:fill="FFFFFF"/>
        </w:rPr>
        <w:t>第一部分石家庄市鹿泉区上寨乡人民政府概况</w:t>
      </w: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lang w:eastAsia="zh-CN"/>
        </w:rPr>
        <w:t>一、</w:t>
      </w:r>
      <w:r>
        <w:rPr>
          <w:rFonts w:hint="eastAsia" w:ascii="仿宋_GB2312" w:hAnsi="宋体" w:eastAsia="仿宋_GB2312"/>
          <w:color w:val="000000"/>
          <w:kern w:val="0"/>
          <w:sz w:val="32"/>
          <w:szCs w:val="32"/>
          <w:shd w:val="clear" w:color="auto" w:fill="FFFFFF"/>
        </w:rPr>
        <w:t>部门职责</w:t>
      </w:r>
    </w:p>
    <w:p>
      <w:pPr>
        <w:widowControl/>
        <w:shd w:val="clear" w:color="auto" w:fill="FFFFFF"/>
        <w:spacing w:line="315" w:lineRule="atLeast"/>
        <w:ind w:firstLine="480"/>
        <w:jc w:val="left"/>
        <w:rPr>
          <w:rFonts w:hint="eastAsia"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t>石家庄市鹿泉区上寨乡党委、政府内设机构7个，分别为党政办公室、社会事务办公室、经济发展办公室、综合治理办公室、财政所、计划生育服务站、劳动和社会保障服务站。主要职责为:负责机关日常事务，抓好农村基层组织建设和民主政治建设；负责辖区教育、文化、人口和计划生育等社会事务管理工作；负责制定乡财政计划和经济发展规划；负责招商引资、发展民营企业和第三产业提供服务；负责辖区环境保护和安全生产监督管理工作；负责社会治安综合治理和司法工作；负责辖区基础设施和公用设施的建设与管理；负责辖区财政管理，实施辖区内财政预算、决算、国有资产管理和财政监督工作；负责劳动就业、社会保障等工作；负责协调辖区内上级有关派驻机构的工作；负责石家庄市鹿泉区政府交办的其他事项。</w:t>
      </w:r>
    </w:p>
    <w:p>
      <w:pPr>
        <w:widowControl/>
        <w:numPr>
          <w:ilvl w:val="0"/>
          <w:numId w:val="1"/>
        </w:numPr>
        <w:shd w:val="clear" w:color="auto" w:fill="FFFFFF"/>
        <w:spacing w:line="315" w:lineRule="atLeast"/>
        <w:ind w:firstLine="480"/>
        <w:jc w:val="left"/>
        <w:rPr>
          <w:rFonts w:hint="eastAsia"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t>单位构成</w:t>
      </w:r>
    </w:p>
    <w:p>
      <w:pPr>
        <w:autoSpaceDE w:val="0"/>
        <w:autoSpaceDN w:val="0"/>
        <w:adjustRightInd w:val="0"/>
        <w:spacing w:after="0" w:line="560" w:lineRule="exact"/>
        <w:ind w:firstLine="640" w:firstLineChars="200"/>
        <w:jc w:val="lef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2017 年度，纳入决算汇编范围的独立核算单位</w:t>
      </w:r>
    </w:p>
    <w:p>
      <w:pPr>
        <w:autoSpaceDE w:val="0"/>
        <w:autoSpaceDN w:val="0"/>
        <w:adjustRightInd w:val="0"/>
        <w:spacing w:after="0" w:line="560" w:lineRule="exact"/>
        <w:jc w:val="left"/>
        <w:rPr>
          <w:rFonts w:hint="eastAsia" w:ascii="仿宋_GB2312" w:hAnsi="宋体" w:eastAsia="仿宋_GB2312"/>
          <w:color w:val="000000"/>
          <w:kern w:val="0"/>
          <w:sz w:val="32"/>
          <w:szCs w:val="32"/>
          <w:shd w:val="clear" w:color="auto" w:fill="FFFFFF"/>
          <w:lang w:val="en-US" w:eastAsia="zh-CN"/>
        </w:rPr>
      </w:pPr>
      <w:r>
        <w:rPr>
          <w:rFonts w:hint="eastAsia" w:ascii="仿宋_GB2312" w:eastAsia="仿宋_GB2312" w:cs="ArialUnicodeMS" w:hAnsiTheme="minorHAnsi"/>
          <w:kern w:val="0"/>
          <w:sz w:val="32"/>
          <w:szCs w:val="32"/>
        </w:rPr>
        <w:t>（以下简称“单位”）共</w:t>
      </w:r>
      <w:r>
        <w:rPr>
          <w:rFonts w:hint="eastAsia" w:ascii="仿宋_GB2312" w:eastAsia="仿宋_GB2312" w:cs="ArialUnicodeMS"/>
          <w:kern w:val="0"/>
          <w:sz w:val="32"/>
          <w:szCs w:val="32"/>
          <w:lang w:val="en-US" w:eastAsia="zh-CN"/>
        </w:rPr>
        <w:t>1</w:t>
      </w:r>
      <w:r>
        <w:rPr>
          <w:rFonts w:hint="eastAsia" w:ascii="仿宋_GB2312" w:eastAsia="仿宋_GB2312" w:cs="ArialUnicodeMS" w:hAnsiTheme="minorHAnsi"/>
          <w:kern w:val="0"/>
          <w:sz w:val="32"/>
          <w:szCs w:val="32"/>
        </w:rPr>
        <w:t>个</w:t>
      </w:r>
      <w:r>
        <w:rPr>
          <w:rFonts w:hint="eastAsia" w:ascii="仿宋_GB2312" w:eastAsia="仿宋_GB2312" w:cs="ArialUnicodeMS"/>
          <w:kern w:val="0"/>
          <w:sz w:val="32"/>
          <w:szCs w:val="32"/>
          <w:lang w:eastAsia="zh-CN"/>
        </w:rPr>
        <w:t>，石家庄市鹿泉区上寨乡人民政府</w:t>
      </w:r>
      <w:r>
        <w:rPr>
          <w:rFonts w:hint="eastAsia" w:ascii="仿宋_GB2312" w:eastAsia="仿宋_GB2312" w:cs="ArialUnicodeMS" w:hAnsiTheme="minorHAnsi"/>
          <w:kern w:val="0"/>
          <w:sz w:val="32"/>
          <w:szCs w:val="32"/>
        </w:rPr>
        <w:t>，单位基本性质为</w:t>
      </w:r>
      <w:r>
        <w:rPr>
          <w:rFonts w:hint="eastAsia" w:ascii="仿宋_GB2312" w:eastAsia="仿宋_GB2312" w:cs="ArialUnicodeMS"/>
          <w:kern w:val="0"/>
          <w:sz w:val="32"/>
          <w:szCs w:val="32"/>
          <w:lang w:eastAsia="zh-CN"/>
        </w:rPr>
        <w:t>行政</w:t>
      </w:r>
      <w:r>
        <w:rPr>
          <w:rFonts w:hint="eastAsia" w:ascii="仿宋_GB2312" w:eastAsia="仿宋_GB2312" w:cs="ArialUnicodeMS" w:hAnsiTheme="minorHAnsi"/>
          <w:kern w:val="0"/>
          <w:sz w:val="32"/>
          <w:szCs w:val="32"/>
        </w:rPr>
        <w:t>单位，预算管理级次为</w:t>
      </w:r>
      <w:r>
        <w:rPr>
          <w:rFonts w:hint="eastAsia" w:ascii="仿宋_GB2312" w:eastAsia="仿宋_GB2312" w:cs="ArialUnicodeMS"/>
          <w:kern w:val="0"/>
          <w:sz w:val="32"/>
          <w:szCs w:val="32"/>
          <w:lang w:eastAsia="zh-CN"/>
        </w:rPr>
        <w:t>一</w:t>
      </w:r>
      <w:r>
        <w:rPr>
          <w:rFonts w:hint="eastAsia" w:ascii="仿宋_GB2312" w:eastAsia="仿宋_GB2312" w:cs="ArialUnicodeMS" w:hAnsiTheme="minorHAnsi"/>
          <w:kern w:val="0"/>
          <w:sz w:val="32"/>
          <w:szCs w:val="32"/>
        </w:rPr>
        <w:t>级预算单位，执行</w:t>
      </w:r>
      <w:r>
        <w:rPr>
          <w:rFonts w:hint="eastAsia" w:ascii="仿宋_GB2312" w:eastAsia="仿宋_GB2312" w:cs="ArialUnicodeMS"/>
          <w:kern w:val="0"/>
          <w:sz w:val="32"/>
          <w:szCs w:val="32"/>
          <w:lang w:eastAsia="zh-CN"/>
        </w:rPr>
        <w:t>行政</w:t>
      </w:r>
      <w:r>
        <w:rPr>
          <w:rFonts w:hint="eastAsia" w:ascii="仿宋_GB2312" w:eastAsia="仿宋_GB2312" w:cs="ArialUnicodeMS" w:hAnsiTheme="minorHAnsi"/>
          <w:kern w:val="0"/>
          <w:sz w:val="32"/>
          <w:szCs w:val="32"/>
        </w:rPr>
        <w:t>单位会计制度，较上年无增减变化</w:t>
      </w:r>
      <w:r>
        <w:rPr>
          <w:rFonts w:hint="eastAsia" w:ascii="仿宋_GB2312" w:eastAsia="仿宋_GB2312" w:cs="ArialUnicodeMS"/>
          <w:kern w:val="0"/>
          <w:sz w:val="32"/>
          <w:szCs w:val="32"/>
          <w:lang w:eastAsia="zh-CN"/>
        </w:rPr>
        <w:t>。</w:t>
      </w:r>
    </w:p>
    <w:p>
      <w:pPr>
        <w:spacing w:line="600" w:lineRule="exact"/>
        <w:ind w:firstLine="640" w:firstLineChars="200"/>
        <w:rPr>
          <w:rFonts w:ascii="仿宋_GB2312" w:hAnsi="仿宋" w:eastAsia="仿宋_GB2312" w:cs="仿宋_GB2312"/>
          <w:color w:val="000000"/>
          <w:sz w:val="32"/>
          <w:szCs w:val="32"/>
        </w:rPr>
      </w:pPr>
    </w:p>
    <w:tbl>
      <w:tblPr>
        <w:tblStyle w:val="5"/>
        <w:tblW w:w="852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31"/>
        <w:gridCol w:w="2131"/>
        <w:gridCol w:w="2130"/>
        <w:gridCol w:w="21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1" w:type="dxa"/>
          </w:tcPr>
          <w:p>
            <w:pPr>
              <w:jc w:val="center"/>
              <w:rPr>
                <w:rFonts w:ascii="仿宋_GB2312" w:hAnsi="宋体" w:eastAsia="仿宋_GB2312"/>
                <w:b/>
                <w:kern w:val="0"/>
                <w:sz w:val="32"/>
                <w:szCs w:val="32"/>
              </w:rPr>
            </w:pPr>
            <w:r>
              <w:rPr>
                <w:rFonts w:hint="eastAsia" w:ascii="仿宋_GB2312" w:hAnsi="宋体" w:eastAsia="仿宋_GB2312"/>
                <w:b/>
                <w:kern w:val="0"/>
                <w:sz w:val="32"/>
                <w:szCs w:val="32"/>
              </w:rPr>
              <w:t>单位名称</w:t>
            </w:r>
          </w:p>
        </w:tc>
        <w:tc>
          <w:tcPr>
            <w:tcW w:w="2131" w:type="dxa"/>
          </w:tcPr>
          <w:p>
            <w:pPr>
              <w:jc w:val="center"/>
              <w:rPr>
                <w:rFonts w:ascii="仿宋_GB2312" w:hAnsi="宋体" w:eastAsia="仿宋_GB2312"/>
                <w:b/>
                <w:kern w:val="0"/>
                <w:sz w:val="32"/>
                <w:szCs w:val="32"/>
              </w:rPr>
            </w:pPr>
            <w:r>
              <w:rPr>
                <w:rFonts w:hint="eastAsia" w:ascii="仿宋_GB2312" w:hAnsi="宋体" w:eastAsia="仿宋_GB2312"/>
                <w:b/>
                <w:kern w:val="0"/>
                <w:sz w:val="32"/>
                <w:szCs w:val="32"/>
              </w:rPr>
              <w:t>单位性质</w:t>
            </w:r>
          </w:p>
        </w:tc>
        <w:tc>
          <w:tcPr>
            <w:tcW w:w="2130" w:type="dxa"/>
          </w:tcPr>
          <w:p>
            <w:pPr>
              <w:jc w:val="center"/>
              <w:rPr>
                <w:rFonts w:ascii="仿宋_GB2312" w:hAnsi="宋体" w:eastAsia="仿宋_GB2312"/>
                <w:b/>
                <w:kern w:val="0"/>
                <w:sz w:val="32"/>
                <w:szCs w:val="32"/>
              </w:rPr>
            </w:pPr>
            <w:r>
              <w:rPr>
                <w:rFonts w:hint="eastAsia" w:ascii="仿宋_GB2312" w:hAnsi="宋体" w:eastAsia="仿宋_GB2312"/>
                <w:b/>
                <w:kern w:val="0"/>
                <w:sz w:val="32"/>
                <w:szCs w:val="32"/>
              </w:rPr>
              <w:t>单位规格</w:t>
            </w:r>
          </w:p>
        </w:tc>
        <w:tc>
          <w:tcPr>
            <w:tcW w:w="2130" w:type="dxa"/>
          </w:tcPr>
          <w:p>
            <w:pPr>
              <w:jc w:val="center"/>
              <w:rPr>
                <w:rFonts w:ascii="仿宋_GB2312" w:hAnsi="宋体" w:eastAsia="仿宋_GB2312"/>
                <w:b/>
                <w:kern w:val="0"/>
                <w:sz w:val="32"/>
                <w:szCs w:val="32"/>
              </w:rPr>
            </w:pPr>
            <w:r>
              <w:rPr>
                <w:rFonts w:hint="eastAsia" w:ascii="仿宋_GB2312" w:hAnsi="宋体" w:eastAsia="仿宋_GB2312"/>
                <w:b/>
                <w:kern w:val="0"/>
                <w:sz w:val="32"/>
                <w:szCs w:val="32"/>
              </w:rPr>
              <w:t>经费保障形式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31" w:type="dxa"/>
            <w:vAlign w:val="center"/>
          </w:tcPr>
          <w:p>
            <w:pPr>
              <w:jc w:val="center"/>
              <w:rPr>
                <w:rFonts w:ascii="仿宋_GB2312" w:hAnsi="宋体" w:eastAsia="仿宋_GB2312"/>
                <w:kern w:val="0"/>
                <w:sz w:val="32"/>
                <w:szCs w:val="32"/>
              </w:rPr>
            </w:pPr>
            <w:r>
              <w:rPr>
                <w:rFonts w:hint="eastAsia" w:ascii="仿宋_GB2312" w:hAnsi="仿宋" w:eastAsia="仿宋_GB2312" w:cs="仿宋"/>
                <w:sz w:val="32"/>
                <w:szCs w:val="32"/>
              </w:rPr>
              <w:t>石家庄市鹿泉区</w:t>
            </w:r>
            <w:r>
              <w:rPr>
                <w:rFonts w:hint="eastAsia" w:ascii="仿宋_GB2312" w:hAnsi="Arial" w:eastAsia="仿宋_GB2312" w:cs="Arial"/>
                <w:color w:val="000000"/>
                <w:kern w:val="0"/>
                <w:sz w:val="32"/>
                <w:szCs w:val="32"/>
                <w:shd w:val="clear" w:color="auto" w:fill="FFFFFF"/>
              </w:rPr>
              <w:t>上寨乡</w:t>
            </w:r>
            <w:r>
              <w:rPr>
                <w:rFonts w:hint="eastAsia" w:ascii="仿宋_GB2312" w:hAnsi="仿宋" w:eastAsia="仿宋_GB2312" w:cs="仿宋"/>
                <w:sz w:val="32"/>
                <w:szCs w:val="32"/>
              </w:rPr>
              <w:t>人民政府</w:t>
            </w:r>
          </w:p>
        </w:tc>
        <w:tc>
          <w:tcPr>
            <w:tcW w:w="2131" w:type="dxa"/>
            <w:vAlign w:val="center"/>
          </w:tcPr>
          <w:p>
            <w:pPr>
              <w:jc w:val="center"/>
              <w:rPr>
                <w:rFonts w:ascii="仿宋_GB2312" w:hAnsi="宋体" w:eastAsia="仿宋_GB2312"/>
                <w:kern w:val="0"/>
                <w:sz w:val="32"/>
                <w:szCs w:val="32"/>
              </w:rPr>
            </w:pPr>
            <w:r>
              <w:rPr>
                <w:rFonts w:hint="eastAsia" w:ascii="仿宋_GB2312" w:hAnsi="宋体" w:eastAsia="仿宋_GB2312"/>
                <w:kern w:val="0"/>
                <w:sz w:val="32"/>
                <w:szCs w:val="32"/>
              </w:rPr>
              <w:t>行政</w:t>
            </w:r>
          </w:p>
        </w:tc>
        <w:tc>
          <w:tcPr>
            <w:tcW w:w="2130" w:type="dxa"/>
            <w:vAlign w:val="center"/>
          </w:tcPr>
          <w:p>
            <w:pPr>
              <w:jc w:val="center"/>
              <w:rPr>
                <w:rFonts w:ascii="仿宋_GB2312" w:hAnsi="宋体" w:eastAsia="仿宋_GB2312"/>
                <w:kern w:val="0"/>
                <w:sz w:val="32"/>
                <w:szCs w:val="32"/>
              </w:rPr>
            </w:pPr>
            <w:r>
              <w:rPr>
                <w:rFonts w:hint="eastAsia" w:ascii="仿宋_GB2312" w:hAnsi="宋体" w:eastAsia="仿宋_GB2312"/>
                <w:kern w:val="0"/>
                <w:sz w:val="32"/>
                <w:szCs w:val="32"/>
              </w:rPr>
              <w:t>正科级</w:t>
            </w:r>
          </w:p>
        </w:tc>
        <w:tc>
          <w:tcPr>
            <w:tcW w:w="2130" w:type="dxa"/>
            <w:vAlign w:val="center"/>
          </w:tcPr>
          <w:p>
            <w:pPr>
              <w:jc w:val="center"/>
              <w:rPr>
                <w:rFonts w:ascii="仿宋_GB2312" w:hAnsi="宋体" w:eastAsia="仿宋_GB2312"/>
                <w:kern w:val="0"/>
                <w:sz w:val="32"/>
                <w:szCs w:val="32"/>
              </w:rPr>
            </w:pPr>
            <w:r>
              <w:rPr>
                <w:rFonts w:hint="eastAsia" w:ascii="仿宋_GB2312" w:hAnsi="宋体" w:eastAsia="仿宋_GB2312"/>
                <w:kern w:val="0"/>
                <w:sz w:val="32"/>
                <w:szCs w:val="32"/>
              </w:rPr>
              <w:t>财政拨款</w:t>
            </w:r>
          </w:p>
        </w:tc>
      </w:tr>
    </w:tbl>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p>
    <w:p>
      <w:pPr>
        <w:widowControl/>
        <w:shd w:val="clear" w:color="auto" w:fill="FFFFFF"/>
        <w:spacing w:line="315" w:lineRule="atLeast"/>
        <w:ind w:firstLine="480"/>
        <w:jc w:val="left"/>
        <w:rPr>
          <w:rFonts w:ascii="仿宋_GB2312" w:hAnsi="宋体" w:eastAsia="仿宋_GB2312"/>
          <w:b/>
          <w:color w:val="000000"/>
          <w:sz w:val="32"/>
          <w:szCs w:val="32"/>
        </w:rPr>
      </w:pPr>
      <w:r>
        <w:rPr>
          <w:rFonts w:hint="eastAsia" w:ascii="仿宋_GB2312" w:hAnsi="宋体" w:eastAsia="仿宋_GB2312"/>
          <w:b/>
          <w:color w:val="000000"/>
          <w:kern w:val="0"/>
          <w:sz w:val="32"/>
          <w:szCs w:val="32"/>
          <w:shd w:val="clear" w:color="auto" w:fill="FFFFFF"/>
        </w:rPr>
        <w:t>第二部分石家庄市鹿泉区上寨乡人民政府2017年度部门决算报表</w:t>
      </w:r>
      <w:r>
        <w:rPr>
          <w:rFonts w:hint="eastAsia" w:ascii="仿宋_GB2312" w:hAnsi="宋体" w:eastAsia="仿宋_GB2312"/>
          <w:color w:val="000000"/>
          <w:kern w:val="0"/>
          <w:sz w:val="32"/>
          <w:szCs w:val="32"/>
          <w:shd w:val="clear" w:color="auto" w:fill="FFFFFF"/>
        </w:rPr>
        <w:t>(</w:t>
      </w:r>
      <w:r>
        <w:rPr>
          <w:rFonts w:hint="eastAsia" w:ascii="仿宋_GB2312" w:hAnsi="宋体" w:eastAsia="仿宋_GB2312"/>
          <w:color w:val="000000"/>
          <w:sz w:val="32"/>
          <w:szCs w:val="32"/>
          <w:shd w:val="clear" w:color="auto" w:fill="FFFFFF"/>
        </w:rPr>
        <w:t>决算表见附件)</w:t>
      </w:r>
    </w:p>
    <w:p>
      <w:pPr>
        <w:widowControl/>
        <w:shd w:val="clear" w:color="auto" w:fill="FFFFFF"/>
        <w:spacing w:line="315" w:lineRule="atLeast"/>
        <w:ind w:firstLine="480"/>
        <w:jc w:val="left"/>
        <w:rPr>
          <w:rFonts w:ascii="仿宋_GB2312" w:hAnsi="宋体" w:eastAsia="仿宋_GB2312"/>
          <w:color w:val="000000"/>
          <w:sz w:val="32"/>
          <w:szCs w:val="32"/>
        </w:rPr>
      </w:pPr>
      <w:r>
        <w:rPr>
          <w:rFonts w:hint="eastAsia" w:ascii="仿宋_GB2312" w:hAnsi="宋体" w:eastAsia="仿宋_GB2312"/>
          <w:color w:val="000000"/>
          <w:kern w:val="0"/>
          <w:sz w:val="32"/>
          <w:szCs w:val="32"/>
          <w:shd w:val="clear" w:color="auto" w:fill="FFFFFF"/>
        </w:rPr>
        <w:t>一、收入支出决算总表</w:t>
      </w:r>
    </w:p>
    <w:p>
      <w:pPr>
        <w:widowControl/>
        <w:shd w:val="clear" w:color="auto" w:fill="FFFFFF"/>
        <w:spacing w:line="315" w:lineRule="atLeast"/>
        <w:ind w:firstLine="439"/>
        <w:jc w:val="left"/>
        <w:rPr>
          <w:rFonts w:ascii="仿宋_GB2312" w:hAnsi="宋体" w:eastAsia="仿宋_GB2312"/>
          <w:color w:val="000000"/>
          <w:sz w:val="32"/>
          <w:szCs w:val="32"/>
        </w:rPr>
      </w:pPr>
      <w:r>
        <w:rPr>
          <w:rFonts w:hint="eastAsia" w:ascii="仿宋_GB2312" w:hAnsi="宋体" w:eastAsia="仿宋_GB2312"/>
          <w:color w:val="000000"/>
          <w:kern w:val="0"/>
          <w:sz w:val="32"/>
          <w:szCs w:val="32"/>
          <w:shd w:val="clear" w:color="auto" w:fill="FFFFFF"/>
        </w:rPr>
        <w:t>二、收入决算表</w:t>
      </w:r>
    </w:p>
    <w:p>
      <w:pPr>
        <w:widowControl/>
        <w:shd w:val="clear" w:color="auto" w:fill="FFFFFF"/>
        <w:spacing w:line="315" w:lineRule="atLeast"/>
        <w:ind w:firstLine="480"/>
        <w:jc w:val="left"/>
        <w:rPr>
          <w:rFonts w:ascii="仿宋_GB2312" w:hAnsi="宋体" w:eastAsia="仿宋_GB2312"/>
          <w:color w:val="000000"/>
          <w:sz w:val="32"/>
          <w:szCs w:val="32"/>
        </w:rPr>
      </w:pPr>
      <w:r>
        <w:rPr>
          <w:rFonts w:hint="eastAsia" w:ascii="仿宋_GB2312" w:hAnsi="宋体" w:eastAsia="仿宋_GB2312"/>
          <w:color w:val="000000"/>
          <w:kern w:val="0"/>
          <w:sz w:val="32"/>
          <w:szCs w:val="32"/>
          <w:shd w:val="clear" w:color="auto" w:fill="FFFFFF"/>
        </w:rPr>
        <w:t>三、支出决算表</w:t>
      </w:r>
    </w:p>
    <w:p>
      <w:pPr>
        <w:widowControl/>
        <w:shd w:val="clear" w:color="auto" w:fill="FFFFFF"/>
        <w:spacing w:line="315" w:lineRule="atLeast"/>
        <w:ind w:firstLine="439"/>
        <w:jc w:val="left"/>
        <w:rPr>
          <w:rFonts w:ascii="仿宋_GB2312" w:hAnsi="宋体" w:eastAsia="仿宋_GB2312"/>
          <w:color w:val="000000"/>
          <w:sz w:val="32"/>
          <w:szCs w:val="32"/>
        </w:rPr>
      </w:pPr>
      <w:r>
        <w:rPr>
          <w:rFonts w:hint="eastAsia" w:ascii="仿宋_GB2312" w:hAnsi="宋体" w:eastAsia="仿宋_GB2312"/>
          <w:color w:val="000000"/>
          <w:kern w:val="0"/>
          <w:sz w:val="32"/>
          <w:szCs w:val="32"/>
          <w:shd w:val="clear" w:color="auto" w:fill="FFFFFF"/>
        </w:rPr>
        <w:t>四、财政拨款收入支出决算总表</w:t>
      </w:r>
    </w:p>
    <w:p>
      <w:pPr>
        <w:widowControl/>
        <w:shd w:val="clear" w:color="auto" w:fill="FFFFFF"/>
        <w:spacing w:line="315" w:lineRule="atLeast"/>
        <w:ind w:firstLine="439"/>
        <w:jc w:val="left"/>
        <w:rPr>
          <w:rFonts w:ascii="仿宋_GB2312" w:hAnsi="宋体" w:eastAsia="仿宋_GB2312"/>
          <w:color w:val="000000"/>
          <w:sz w:val="32"/>
          <w:szCs w:val="32"/>
        </w:rPr>
      </w:pPr>
      <w:r>
        <w:rPr>
          <w:rFonts w:hint="eastAsia" w:ascii="仿宋_GB2312" w:hAnsi="宋体" w:eastAsia="仿宋_GB2312"/>
          <w:color w:val="000000"/>
          <w:kern w:val="0"/>
          <w:sz w:val="32"/>
          <w:szCs w:val="32"/>
          <w:shd w:val="clear" w:color="auto" w:fill="FFFFFF"/>
        </w:rPr>
        <w:t>五、一般公共预算财政拨款收入支出决算表</w:t>
      </w:r>
    </w:p>
    <w:p>
      <w:pPr>
        <w:widowControl/>
        <w:shd w:val="clear" w:color="auto" w:fill="FFFFFF"/>
        <w:spacing w:line="315" w:lineRule="atLeast"/>
        <w:ind w:firstLine="439"/>
        <w:jc w:val="left"/>
        <w:rPr>
          <w:rFonts w:ascii="仿宋_GB2312" w:hAnsi="宋体" w:eastAsia="仿宋_GB2312"/>
          <w:color w:val="000000"/>
          <w:sz w:val="32"/>
          <w:szCs w:val="32"/>
        </w:rPr>
      </w:pPr>
      <w:r>
        <w:rPr>
          <w:rFonts w:hint="eastAsia" w:ascii="仿宋_GB2312" w:hAnsi="宋体" w:eastAsia="仿宋_GB2312"/>
          <w:color w:val="000000"/>
          <w:kern w:val="0"/>
          <w:sz w:val="32"/>
          <w:szCs w:val="32"/>
          <w:shd w:val="clear" w:color="auto" w:fill="FFFFFF"/>
        </w:rPr>
        <w:t>六、一般公共预算财政拨款基本支出决算表</w:t>
      </w:r>
    </w:p>
    <w:p>
      <w:pPr>
        <w:widowControl/>
        <w:shd w:val="clear" w:color="auto" w:fill="FFFFFF"/>
        <w:spacing w:line="315" w:lineRule="atLeast"/>
        <w:ind w:firstLine="439"/>
        <w:jc w:val="left"/>
        <w:rPr>
          <w:rFonts w:ascii="仿宋_GB2312" w:hAnsi="宋体" w:eastAsia="仿宋_GB2312"/>
          <w:color w:val="000000"/>
          <w:sz w:val="32"/>
          <w:szCs w:val="32"/>
        </w:rPr>
      </w:pPr>
      <w:r>
        <w:rPr>
          <w:rFonts w:hint="eastAsia" w:ascii="仿宋_GB2312" w:hAnsi="宋体" w:eastAsia="仿宋_GB2312"/>
          <w:color w:val="000000"/>
          <w:kern w:val="0"/>
          <w:sz w:val="32"/>
          <w:szCs w:val="32"/>
          <w:shd w:val="clear" w:color="auto" w:fill="FFFFFF"/>
        </w:rPr>
        <w:t>七、政府性基金预算财政拨款收入支出决算表</w:t>
      </w:r>
    </w:p>
    <w:p>
      <w:pPr>
        <w:widowControl/>
        <w:shd w:val="clear" w:color="auto" w:fill="FFFFFF"/>
        <w:spacing w:line="315" w:lineRule="atLeast"/>
        <w:ind w:firstLine="439"/>
        <w:jc w:val="left"/>
        <w:rPr>
          <w:rFonts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t>八、国有资本经营预算财政拨款收入支出决算表</w:t>
      </w:r>
    </w:p>
    <w:p>
      <w:pPr>
        <w:widowControl/>
        <w:shd w:val="clear" w:color="auto" w:fill="FFFFFF"/>
        <w:spacing w:line="315" w:lineRule="atLeast"/>
        <w:ind w:firstLine="439"/>
        <w:jc w:val="left"/>
        <w:rPr>
          <w:rFonts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t>九、“三公”经费及相关信息统计表</w:t>
      </w:r>
    </w:p>
    <w:p>
      <w:pPr>
        <w:widowControl/>
        <w:shd w:val="clear" w:color="auto" w:fill="FFFFFF"/>
        <w:spacing w:line="315" w:lineRule="atLeast"/>
        <w:ind w:firstLine="439"/>
        <w:jc w:val="left"/>
        <w:rPr>
          <w:rFonts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t>十、政府采购情况表</w:t>
      </w:r>
    </w:p>
    <w:p>
      <w:pPr>
        <w:widowControl/>
        <w:shd w:val="clear" w:color="auto" w:fill="FFFFFF"/>
        <w:spacing w:line="315" w:lineRule="atLeast"/>
        <w:ind w:firstLine="480"/>
        <w:jc w:val="left"/>
        <w:rPr>
          <w:rFonts w:ascii="仿宋_GB2312" w:hAnsi="宋体" w:eastAsia="仿宋_GB2312"/>
          <w:b/>
          <w:color w:val="000000"/>
          <w:sz w:val="32"/>
          <w:szCs w:val="32"/>
        </w:rPr>
      </w:pPr>
      <w:r>
        <w:rPr>
          <w:rFonts w:hint="eastAsia" w:ascii="仿宋_GB2312" w:hAnsi="宋体" w:eastAsia="仿宋_GB2312"/>
          <w:b/>
          <w:color w:val="000000"/>
          <w:kern w:val="0"/>
          <w:sz w:val="32"/>
          <w:szCs w:val="32"/>
          <w:shd w:val="clear" w:color="auto" w:fill="FFFFFF"/>
        </w:rPr>
        <w:t>第三部分石家庄市鹿泉区上寨乡人民政府2017年部门决算情况说明</w:t>
      </w:r>
    </w:p>
    <w:p>
      <w:pPr>
        <w:widowControl/>
        <w:shd w:val="clear" w:color="auto" w:fill="FFFFFF"/>
        <w:ind w:firstLine="640" w:firstLineChars="200"/>
        <w:jc w:val="left"/>
        <w:rPr>
          <w:rFonts w:ascii="仿宋_GB2312" w:hAnsi="宋体" w:eastAsia="仿宋_GB2312" w:cs="宋体"/>
          <w:color w:val="000000"/>
          <w:kern w:val="0"/>
          <w:sz w:val="32"/>
          <w:szCs w:val="32"/>
        </w:rPr>
      </w:pPr>
      <w:r>
        <w:rPr>
          <w:rFonts w:hint="eastAsia" w:ascii="仿宋_GB2312" w:hAnsi="宋体" w:eastAsia="仿宋_GB2312"/>
          <w:color w:val="000000"/>
          <w:kern w:val="0"/>
          <w:sz w:val="32"/>
          <w:szCs w:val="32"/>
          <w:shd w:val="clear" w:color="auto" w:fill="FFFFFF"/>
        </w:rPr>
        <w:t>一、</w:t>
      </w:r>
      <w:r>
        <w:rPr>
          <w:rFonts w:hint="eastAsia" w:ascii="仿宋_GB2312" w:hAnsi="微软雅黑" w:eastAsia="仿宋_GB2312"/>
          <w:color w:val="3E3E3E"/>
          <w:sz w:val="32"/>
          <w:szCs w:val="32"/>
        </w:rPr>
        <w:t>收入支出决算总体情况说明</w:t>
      </w:r>
    </w:p>
    <w:p>
      <w:pPr>
        <w:widowControl/>
        <w:shd w:val="clear" w:color="auto" w:fill="FFFFFF"/>
        <w:spacing w:line="315" w:lineRule="atLeast"/>
        <w:ind w:firstLine="480"/>
        <w:jc w:val="left"/>
        <w:rPr>
          <w:rFonts w:ascii="仿宋_GB2312" w:hAnsi="宋体" w:eastAsia="仿宋_GB2312"/>
          <w:color w:val="000000"/>
          <w:sz w:val="32"/>
          <w:szCs w:val="32"/>
        </w:rPr>
      </w:pPr>
      <w:r>
        <w:rPr>
          <w:rFonts w:hint="eastAsia" w:ascii="仿宋_GB2312" w:hAnsi="宋体" w:eastAsia="仿宋_GB2312"/>
          <w:color w:val="000000"/>
          <w:kern w:val="0"/>
          <w:sz w:val="32"/>
          <w:szCs w:val="32"/>
          <w:shd w:val="clear" w:color="auto" w:fill="FFFFFF"/>
        </w:rPr>
        <w:t>2017年度上寨乡财政总收入1820.62万元，比上年增加了1041.96万元，</w:t>
      </w:r>
      <w:r>
        <w:rPr>
          <w:rFonts w:hint="eastAsia" w:ascii="仿宋_GB2312" w:hAnsi="宋体" w:eastAsia="仿宋_GB2312"/>
          <w:color w:val="000000"/>
          <w:kern w:val="0"/>
          <w:sz w:val="32"/>
          <w:szCs w:val="32"/>
          <w:shd w:val="clear" w:color="auto" w:fill="FFFFFF"/>
          <w:lang w:eastAsia="zh-CN"/>
        </w:rPr>
        <w:t>增长</w:t>
      </w:r>
      <w:r>
        <w:rPr>
          <w:rFonts w:hint="eastAsia" w:ascii="仿宋_GB2312" w:hAnsi="宋体" w:eastAsia="仿宋_GB2312"/>
          <w:color w:val="000000"/>
          <w:kern w:val="0"/>
          <w:sz w:val="32"/>
          <w:szCs w:val="32"/>
          <w:shd w:val="clear" w:color="auto" w:fill="FFFFFF"/>
          <w:lang w:val="en-US" w:eastAsia="zh-CN"/>
        </w:rPr>
        <w:t>133%，</w:t>
      </w:r>
      <w:r>
        <w:rPr>
          <w:rFonts w:hint="eastAsia" w:ascii="仿宋_GB2312" w:hAnsi="宋体" w:eastAsia="仿宋_GB2312"/>
          <w:color w:val="000000"/>
          <w:kern w:val="0"/>
          <w:sz w:val="32"/>
          <w:szCs w:val="32"/>
          <w:shd w:val="clear" w:color="auto" w:fill="FFFFFF"/>
        </w:rPr>
        <w:t>主要原因是项目资金收入增加；本年支出合计1820.62万元，比上年增加了1041.96万元，</w:t>
      </w:r>
      <w:r>
        <w:rPr>
          <w:rFonts w:hint="eastAsia" w:ascii="仿宋_GB2312" w:hAnsi="宋体" w:eastAsia="仿宋_GB2312"/>
          <w:color w:val="000000"/>
          <w:kern w:val="0"/>
          <w:sz w:val="32"/>
          <w:szCs w:val="32"/>
          <w:shd w:val="clear" w:color="auto" w:fill="FFFFFF"/>
          <w:lang w:eastAsia="zh-CN"/>
        </w:rPr>
        <w:t>增长</w:t>
      </w:r>
      <w:r>
        <w:rPr>
          <w:rFonts w:hint="eastAsia" w:ascii="仿宋_GB2312" w:hAnsi="宋体" w:eastAsia="仿宋_GB2312"/>
          <w:color w:val="000000"/>
          <w:kern w:val="0"/>
          <w:sz w:val="32"/>
          <w:szCs w:val="32"/>
          <w:shd w:val="clear" w:color="auto" w:fill="FFFFFF"/>
          <w:lang w:val="en-US" w:eastAsia="zh-CN"/>
        </w:rPr>
        <w:t>133%，</w:t>
      </w:r>
      <w:r>
        <w:rPr>
          <w:rFonts w:hint="eastAsia" w:ascii="仿宋_GB2312" w:hAnsi="宋体" w:eastAsia="仿宋_GB2312"/>
          <w:color w:val="000000"/>
          <w:kern w:val="0"/>
          <w:sz w:val="32"/>
          <w:szCs w:val="32"/>
          <w:shd w:val="clear" w:color="auto" w:fill="FFFFFF"/>
        </w:rPr>
        <w:t>主要原因是项目资金支出增加。总体实现了收支平衡。</w:t>
      </w:r>
    </w:p>
    <w:p>
      <w:pPr>
        <w:widowControl/>
        <w:numPr>
          <w:ilvl w:val="0"/>
          <w:numId w:val="2"/>
        </w:numPr>
        <w:shd w:val="clear" w:color="auto" w:fill="FFFFFF"/>
        <w:spacing w:line="315" w:lineRule="atLeast"/>
        <w:ind w:firstLine="480"/>
        <w:jc w:val="left"/>
        <w:rPr>
          <w:rFonts w:ascii="仿宋_GB2312" w:hAnsi="微软雅黑" w:eastAsia="仿宋_GB2312"/>
          <w:color w:val="3E3E3E"/>
          <w:sz w:val="32"/>
          <w:szCs w:val="32"/>
        </w:rPr>
      </w:pPr>
      <w:r>
        <w:rPr>
          <w:rFonts w:hint="eastAsia" w:ascii="仿宋_GB2312" w:hAnsi="微软雅黑" w:eastAsia="仿宋_GB2312"/>
          <w:color w:val="3E3E3E"/>
          <w:sz w:val="32"/>
          <w:szCs w:val="32"/>
        </w:rPr>
        <w:t>收入决算情况说明</w:t>
      </w:r>
    </w:p>
    <w:p>
      <w:pPr>
        <w:widowControl/>
        <w:shd w:val="clear" w:color="auto" w:fill="FFFFFF"/>
        <w:spacing w:line="315" w:lineRule="atLeast"/>
        <w:ind w:firstLine="640" w:firstLineChars="200"/>
        <w:jc w:val="left"/>
        <w:rPr>
          <w:rFonts w:hint="eastAsia" w:ascii="仿宋_GB2312" w:hAnsi="宋体" w:eastAsia="仿宋_GB2312"/>
          <w:color w:val="000000"/>
          <w:kern w:val="0"/>
          <w:sz w:val="32"/>
          <w:szCs w:val="32"/>
          <w:shd w:val="clear" w:color="auto" w:fill="FFFFFF"/>
          <w:lang w:eastAsia="zh-CN"/>
        </w:rPr>
      </w:pPr>
      <w:r>
        <w:rPr>
          <w:rFonts w:hint="eastAsia" w:ascii="仿宋_GB2312" w:hAnsi="宋体" w:eastAsia="仿宋_GB2312"/>
          <w:color w:val="000000"/>
          <w:kern w:val="0"/>
          <w:sz w:val="32"/>
          <w:szCs w:val="32"/>
          <w:shd w:val="clear" w:color="auto" w:fill="FFFFFF"/>
        </w:rPr>
        <w:t>2017年度上寨乡财政拨款收入共计1820.62万元，其中财政拨款收入1804.74万元，</w:t>
      </w:r>
      <w:r>
        <w:rPr>
          <w:rFonts w:hint="eastAsia" w:ascii="仿宋_GB2312" w:hAnsi="宋体" w:eastAsia="仿宋_GB2312"/>
          <w:color w:val="000000"/>
          <w:kern w:val="0"/>
          <w:sz w:val="32"/>
          <w:szCs w:val="32"/>
          <w:shd w:val="clear" w:color="auto" w:fill="FFFFFF"/>
          <w:lang w:eastAsia="zh-CN"/>
        </w:rPr>
        <w:t>占</w:t>
      </w:r>
      <w:r>
        <w:rPr>
          <w:rFonts w:hint="eastAsia" w:ascii="仿宋_GB2312" w:hAnsi="宋体" w:eastAsia="仿宋_GB2312"/>
          <w:color w:val="000000"/>
          <w:kern w:val="0"/>
          <w:sz w:val="32"/>
          <w:szCs w:val="32"/>
          <w:shd w:val="clear" w:color="auto" w:fill="FFFFFF"/>
          <w:lang w:val="en-US" w:eastAsia="zh-CN"/>
        </w:rPr>
        <w:t>99.12%；</w:t>
      </w:r>
      <w:r>
        <w:rPr>
          <w:rFonts w:hint="eastAsia" w:ascii="仿宋_GB2312" w:hAnsi="宋体" w:eastAsia="仿宋_GB2312"/>
          <w:color w:val="000000"/>
          <w:kern w:val="0"/>
          <w:sz w:val="32"/>
          <w:szCs w:val="32"/>
          <w:shd w:val="clear" w:color="auto" w:fill="FFFFFF"/>
        </w:rPr>
        <w:t>其他收入15.88万元</w:t>
      </w:r>
      <w:r>
        <w:rPr>
          <w:rFonts w:hint="eastAsia" w:ascii="仿宋_GB2312" w:hAnsi="宋体" w:eastAsia="仿宋_GB2312"/>
          <w:color w:val="000000"/>
          <w:kern w:val="0"/>
          <w:sz w:val="32"/>
          <w:szCs w:val="32"/>
          <w:shd w:val="clear" w:color="auto" w:fill="FFFFFF"/>
          <w:lang w:eastAsia="zh-CN"/>
        </w:rPr>
        <w:t>，占</w:t>
      </w:r>
      <w:r>
        <w:rPr>
          <w:rFonts w:hint="eastAsia" w:ascii="仿宋_GB2312" w:hAnsi="宋体" w:eastAsia="仿宋_GB2312"/>
          <w:color w:val="000000"/>
          <w:kern w:val="0"/>
          <w:sz w:val="32"/>
          <w:szCs w:val="32"/>
          <w:shd w:val="clear" w:color="auto" w:fill="FFFFFF"/>
          <w:lang w:val="en-US" w:eastAsia="zh-CN"/>
        </w:rPr>
        <w:t>0.88%</w:t>
      </w:r>
      <w:r>
        <w:rPr>
          <w:rFonts w:hint="eastAsia" w:ascii="仿宋_GB2312" w:hAnsi="宋体" w:eastAsia="仿宋_GB2312"/>
          <w:color w:val="000000"/>
          <w:kern w:val="0"/>
          <w:sz w:val="32"/>
          <w:szCs w:val="32"/>
          <w:shd w:val="clear" w:color="auto" w:fill="FFFFFF"/>
        </w:rPr>
        <w:t>。</w:t>
      </w:r>
      <w:r>
        <w:rPr>
          <w:rFonts w:hint="eastAsia" w:ascii="仿宋_GB2312" w:hAnsi="宋体" w:eastAsia="仿宋_GB2312"/>
          <w:color w:val="000000"/>
          <w:kern w:val="0"/>
          <w:sz w:val="32"/>
          <w:szCs w:val="32"/>
          <w:shd w:val="clear" w:color="auto" w:fill="FFFFFF"/>
          <w:lang w:eastAsia="zh-CN"/>
        </w:rPr>
        <w:t>如图所示：</w:t>
      </w:r>
    </w:p>
    <w:p>
      <w:pPr>
        <w:widowControl/>
        <w:shd w:val="clear" w:color="auto" w:fill="FFFFFF"/>
        <w:spacing w:line="315" w:lineRule="atLeast"/>
        <w:ind w:firstLine="640" w:firstLineChars="200"/>
        <w:jc w:val="left"/>
        <w:rPr>
          <w:rFonts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t xml:space="preserve">        图1：收入决算结构饼状图</w:t>
      </w:r>
    </w:p>
    <w:p>
      <w:pPr>
        <w:widowControl/>
        <w:shd w:val="clear" w:color="auto" w:fill="FFFFFF"/>
        <w:spacing w:line="315" w:lineRule="atLeast"/>
        <w:ind w:firstLine="640" w:firstLineChars="200"/>
        <w:jc w:val="left"/>
        <w:rPr>
          <w:rFonts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drawing>
          <wp:inline distT="0" distB="0" distL="114300" distR="114300">
            <wp:extent cx="2222500" cy="1597660"/>
            <wp:effectExtent l="5080" t="4445" r="12700" b="1333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4"/>
        <w:shd w:val="clear" w:color="auto" w:fill="FFFFFF"/>
        <w:spacing w:before="0" w:beforeAutospacing="0" w:after="0" w:afterAutospacing="0" w:line="384" w:lineRule="atLeast"/>
        <w:ind w:firstLine="640" w:firstLineChars="200"/>
        <w:rPr>
          <w:rFonts w:ascii="仿宋_GB2312" w:eastAsia="仿宋_GB2312"/>
          <w:color w:val="000000"/>
          <w:sz w:val="32"/>
          <w:szCs w:val="32"/>
          <w:shd w:val="clear" w:color="auto" w:fill="FFFFFF"/>
        </w:rPr>
      </w:pPr>
      <w:r>
        <w:rPr>
          <w:rFonts w:hint="eastAsia" w:ascii="仿宋_GB2312" w:eastAsia="仿宋_GB2312"/>
          <w:color w:val="000000"/>
          <w:sz w:val="32"/>
          <w:szCs w:val="32"/>
          <w:shd w:val="clear" w:color="auto" w:fill="FFFFFF"/>
        </w:rPr>
        <w:t>三、</w:t>
      </w:r>
      <w:r>
        <w:rPr>
          <w:rFonts w:hint="eastAsia" w:ascii="仿宋_GB2312" w:hAnsi="微软雅黑" w:eastAsia="仿宋_GB2312"/>
          <w:color w:val="3E3E3E"/>
          <w:sz w:val="32"/>
          <w:szCs w:val="32"/>
        </w:rPr>
        <w:t>支出决算情况说明</w:t>
      </w:r>
    </w:p>
    <w:p>
      <w:pPr>
        <w:widowControl/>
        <w:shd w:val="clear" w:color="auto" w:fill="FFFFFF"/>
        <w:spacing w:line="315" w:lineRule="atLeast"/>
        <w:ind w:firstLine="480"/>
        <w:jc w:val="left"/>
        <w:rPr>
          <w:rFonts w:hint="eastAsia" w:ascii="仿宋_GB2312" w:hAnsi="宋体" w:eastAsia="仿宋_GB2312"/>
          <w:color w:val="000000"/>
          <w:kern w:val="0"/>
          <w:sz w:val="32"/>
          <w:szCs w:val="32"/>
          <w:shd w:val="clear" w:color="auto" w:fill="FFFFFF"/>
          <w:lang w:eastAsia="zh-CN"/>
        </w:rPr>
      </w:pPr>
      <w:r>
        <w:rPr>
          <w:rFonts w:hint="eastAsia" w:ascii="仿宋_GB2312" w:hAnsi="宋体" w:eastAsia="仿宋_GB2312"/>
          <w:color w:val="000000"/>
          <w:kern w:val="0"/>
          <w:sz w:val="32"/>
          <w:szCs w:val="32"/>
          <w:shd w:val="clear" w:color="auto" w:fill="FFFFFF"/>
        </w:rPr>
        <w:t>2017年度上寨乡财政支出共计1820.62万元，其中基本支出621.71万元，</w:t>
      </w:r>
      <w:r>
        <w:rPr>
          <w:rFonts w:hint="eastAsia" w:ascii="仿宋_GB2312" w:hAnsi="宋体" w:eastAsia="仿宋_GB2312"/>
          <w:color w:val="000000"/>
          <w:kern w:val="0"/>
          <w:sz w:val="32"/>
          <w:szCs w:val="32"/>
          <w:shd w:val="clear" w:color="auto" w:fill="FFFFFF"/>
          <w:lang w:eastAsia="zh-CN"/>
        </w:rPr>
        <w:t>占</w:t>
      </w:r>
      <w:r>
        <w:rPr>
          <w:rFonts w:hint="eastAsia" w:ascii="仿宋_GB2312" w:hAnsi="宋体" w:eastAsia="仿宋_GB2312"/>
          <w:color w:val="000000"/>
          <w:kern w:val="0"/>
          <w:sz w:val="32"/>
          <w:szCs w:val="32"/>
          <w:shd w:val="clear" w:color="auto" w:fill="FFFFFF"/>
          <w:lang w:val="en-US" w:eastAsia="zh-CN"/>
        </w:rPr>
        <w:t>34.14%；</w:t>
      </w:r>
      <w:r>
        <w:rPr>
          <w:rFonts w:hint="eastAsia" w:ascii="仿宋_GB2312" w:hAnsi="宋体" w:eastAsia="仿宋_GB2312"/>
          <w:color w:val="000000"/>
          <w:kern w:val="0"/>
          <w:sz w:val="32"/>
          <w:szCs w:val="32"/>
          <w:shd w:val="clear" w:color="auto" w:fill="FFFFFF"/>
        </w:rPr>
        <w:t>项目支出1198.9万元</w:t>
      </w:r>
      <w:r>
        <w:rPr>
          <w:rFonts w:hint="eastAsia" w:ascii="仿宋_GB2312" w:hAnsi="宋体" w:eastAsia="仿宋_GB2312"/>
          <w:color w:val="000000"/>
          <w:kern w:val="0"/>
          <w:sz w:val="32"/>
          <w:szCs w:val="32"/>
          <w:shd w:val="clear" w:color="auto" w:fill="FFFFFF"/>
          <w:lang w:eastAsia="zh-CN"/>
        </w:rPr>
        <w:t>，占</w:t>
      </w:r>
      <w:r>
        <w:rPr>
          <w:rFonts w:hint="eastAsia" w:ascii="仿宋_GB2312" w:hAnsi="宋体" w:eastAsia="仿宋_GB2312"/>
          <w:color w:val="000000"/>
          <w:kern w:val="0"/>
          <w:sz w:val="32"/>
          <w:szCs w:val="32"/>
          <w:shd w:val="clear" w:color="auto" w:fill="FFFFFF"/>
          <w:lang w:val="en-US" w:eastAsia="zh-CN"/>
        </w:rPr>
        <w:t>65.86%</w:t>
      </w:r>
      <w:r>
        <w:rPr>
          <w:rFonts w:hint="eastAsia" w:ascii="仿宋_GB2312" w:hAnsi="宋体" w:eastAsia="仿宋_GB2312"/>
          <w:color w:val="000000"/>
          <w:kern w:val="0"/>
          <w:sz w:val="32"/>
          <w:szCs w:val="32"/>
          <w:shd w:val="clear" w:color="auto" w:fill="FFFFFF"/>
        </w:rPr>
        <w:t>。</w:t>
      </w:r>
      <w:r>
        <w:rPr>
          <w:rFonts w:hint="eastAsia" w:ascii="仿宋_GB2312" w:hAnsi="宋体" w:eastAsia="仿宋_GB2312"/>
          <w:color w:val="000000"/>
          <w:kern w:val="0"/>
          <w:sz w:val="32"/>
          <w:szCs w:val="32"/>
          <w:shd w:val="clear" w:color="auto" w:fill="FFFFFF"/>
          <w:lang w:eastAsia="zh-CN"/>
        </w:rPr>
        <w:t>如图所示：</w:t>
      </w:r>
    </w:p>
    <w:p>
      <w:pPr>
        <w:widowControl/>
        <w:shd w:val="clear" w:color="auto" w:fill="FFFFFF"/>
        <w:spacing w:line="315" w:lineRule="atLeast"/>
        <w:ind w:firstLine="1920" w:firstLineChars="600"/>
        <w:jc w:val="left"/>
        <w:rPr>
          <w:rFonts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t>图2：支出决算结构饼状图</w:t>
      </w: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drawing>
          <wp:inline distT="0" distB="0" distL="114300" distR="114300">
            <wp:extent cx="2222500" cy="1597660"/>
            <wp:effectExtent l="5080" t="4445" r="20320" b="17145"/>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4"/>
        <w:numPr>
          <w:ilvl w:val="0"/>
          <w:numId w:val="2"/>
        </w:numPr>
        <w:shd w:val="clear" w:color="auto" w:fill="FFFFFF"/>
        <w:spacing w:before="0" w:beforeAutospacing="0" w:after="0" w:afterAutospacing="0" w:line="384" w:lineRule="atLeast"/>
        <w:ind w:left="0" w:leftChars="0" w:firstLine="480" w:firstLineChars="0"/>
        <w:rPr>
          <w:rFonts w:hint="eastAsia" w:ascii="仿宋_GB2312" w:hAnsi="微软雅黑" w:eastAsia="仿宋_GB2312"/>
          <w:color w:val="3E3E3E"/>
          <w:sz w:val="32"/>
          <w:szCs w:val="32"/>
        </w:rPr>
      </w:pPr>
      <w:r>
        <w:rPr>
          <w:rFonts w:hint="eastAsia" w:ascii="仿宋_GB2312" w:hAnsi="微软雅黑" w:eastAsia="仿宋_GB2312"/>
          <w:color w:val="3E3E3E"/>
          <w:sz w:val="32"/>
          <w:szCs w:val="32"/>
        </w:rPr>
        <w:t>财政拨款收入支出决算总体情况说明</w:t>
      </w:r>
    </w:p>
    <w:p>
      <w:pPr>
        <w:pStyle w:val="4"/>
        <w:numPr>
          <w:ilvl w:val="0"/>
          <w:numId w:val="0"/>
        </w:numPr>
        <w:shd w:val="clear" w:color="auto" w:fill="FFFFFF"/>
        <w:spacing w:before="0" w:beforeAutospacing="0" w:after="0" w:afterAutospacing="0" w:line="384" w:lineRule="atLeast"/>
        <w:ind w:left="480" w:leftChars="0"/>
        <w:rPr>
          <w:rFonts w:hint="eastAsia" w:ascii="仿宋_GB2312" w:hAnsi="微软雅黑" w:eastAsia="仿宋_GB2312"/>
          <w:color w:val="3E3E3E"/>
          <w:sz w:val="32"/>
          <w:szCs w:val="32"/>
          <w:lang w:val="en-US" w:eastAsia="zh-CN"/>
        </w:rPr>
      </w:pPr>
      <w:r>
        <w:rPr>
          <w:rFonts w:hint="eastAsia" w:ascii="仿宋_GB2312" w:hAnsi="微软雅黑" w:eastAsia="仿宋_GB2312"/>
          <w:color w:val="3E3E3E"/>
          <w:sz w:val="32"/>
          <w:szCs w:val="32"/>
          <w:lang w:eastAsia="zh-CN"/>
        </w:rPr>
        <w:t>（一）财政拨款收支与</w:t>
      </w:r>
      <w:r>
        <w:rPr>
          <w:rFonts w:hint="eastAsia" w:ascii="仿宋_GB2312" w:hAnsi="微软雅黑" w:eastAsia="仿宋_GB2312"/>
          <w:color w:val="3E3E3E"/>
          <w:sz w:val="32"/>
          <w:szCs w:val="32"/>
          <w:lang w:val="en-US" w:eastAsia="zh-CN"/>
        </w:rPr>
        <w:t>2016年度决算对比情况</w:t>
      </w:r>
    </w:p>
    <w:p>
      <w:pPr>
        <w:widowControl/>
        <w:shd w:val="clear" w:color="auto" w:fill="FFFFFF"/>
        <w:spacing w:line="315" w:lineRule="atLeast"/>
        <w:ind w:firstLine="480"/>
        <w:jc w:val="left"/>
        <w:rPr>
          <w:rFonts w:hint="eastAsia"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t>2017年度上寨乡财政拨款</w:t>
      </w:r>
      <w:r>
        <w:rPr>
          <w:rFonts w:hint="eastAsia" w:ascii="仿宋_GB2312" w:hAnsi="宋体" w:eastAsia="仿宋_GB2312"/>
          <w:color w:val="000000"/>
          <w:kern w:val="0"/>
          <w:sz w:val="32"/>
          <w:szCs w:val="32"/>
          <w:shd w:val="clear" w:color="auto" w:fill="FFFFFF"/>
          <w:lang w:eastAsia="zh-CN"/>
        </w:rPr>
        <w:t>年初结转结余</w:t>
      </w:r>
      <w:r>
        <w:rPr>
          <w:rFonts w:hint="eastAsia" w:ascii="仿宋_GB2312" w:hAnsi="宋体" w:eastAsia="仿宋_GB2312"/>
          <w:color w:val="000000"/>
          <w:kern w:val="0"/>
          <w:sz w:val="32"/>
          <w:szCs w:val="32"/>
          <w:shd w:val="clear" w:color="auto" w:fill="FFFFFF"/>
          <w:lang w:val="en-US" w:eastAsia="zh-CN"/>
        </w:rPr>
        <w:t>0万元，本年</w:t>
      </w:r>
      <w:r>
        <w:rPr>
          <w:rFonts w:hint="eastAsia" w:ascii="仿宋_GB2312" w:hAnsi="宋体" w:eastAsia="仿宋_GB2312"/>
          <w:color w:val="000000"/>
          <w:kern w:val="0"/>
          <w:sz w:val="32"/>
          <w:szCs w:val="32"/>
          <w:shd w:val="clear" w:color="auto" w:fill="FFFFFF"/>
        </w:rPr>
        <w:t>收入1804.74万元</w:t>
      </w:r>
      <w:r>
        <w:rPr>
          <w:rFonts w:hint="eastAsia" w:ascii="仿宋_GB2312" w:hAnsi="宋体" w:eastAsia="仿宋_GB2312"/>
          <w:color w:val="000000"/>
          <w:kern w:val="0"/>
          <w:sz w:val="32"/>
          <w:szCs w:val="32"/>
          <w:shd w:val="clear" w:color="auto" w:fill="FFFFFF"/>
          <w:lang w:eastAsia="zh-CN"/>
        </w:rPr>
        <w:t>。本年支出</w:t>
      </w:r>
      <w:r>
        <w:rPr>
          <w:rFonts w:hint="eastAsia" w:ascii="仿宋_GB2312" w:hAnsi="宋体" w:eastAsia="仿宋_GB2312"/>
          <w:color w:val="000000"/>
          <w:kern w:val="0"/>
          <w:sz w:val="32"/>
          <w:szCs w:val="32"/>
          <w:shd w:val="clear" w:color="auto" w:fill="FFFFFF"/>
        </w:rPr>
        <w:t>1804.74</w:t>
      </w:r>
      <w:r>
        <w:rPr>
          <w:rFonts w:hint="eastAsia" w:ascii="仿宋_GB2312" w:hAnsi="宋体" w:eastAsia="仿宋_GB2312"/>
          <w:color w:val="000000"/>
          <w:kern w:val="0"/>
          <w:sz w:val="32"/>
          <w:szCs w:val="32"/>
          <w:shd w:val="clear" w:color="auto" w:fill="FFFFFF"/>
          <w:lang w:eastAsia="zh-CN"/>
        </w:rPr>
        <w:t>万元，年末结转结余</w:t>
      </w:r>
      <w:r>
        <w:rPr>
          <w:rFonts w:hint="eastAsia" w:ascii="仿宋_GB2312" w:hAnsi="宋体" w:eastAsia="仿宋_GB2312"/>
          <w:color w:val="000000"/>
          <w:kern w:val="0"/>
          <w:sz w:val="32"/>
          <w:szCs w:val="32"/>
          <w:shd w:val="clear" w:color="auto" w:fill="FFFFFF"/>
          <w:lang w:val="en-US" w:eastAsia="zh-CN"/>
        </w:rPr>
        <w:t>0万元。</w:t>
      </w:r>
      <w:r>
        <w:rPr>
          <w:rFonts w:hint="eastAsia" w:ascii="仿宋_GB2312" w:hAnsi="宋体" w:eastAsia="仿宋_GB2312"/>
          <w:color w:val="000000"/>
          <w:kern w:val="0"/>
          <w:sz w:val="32"/>
          <w:szCs w:val="32"/>
          <w:shd w:val="clear" w:color="auto" w:fill="FFFFFF"/>
          <w:lang w:eastAsia="zh-CN"/>
        </w:rPr>
        <w:t>与</w:t>
      </w:r>
      <w:r>
        <w:rPr>
          <w:rFonts w:hint="eastAsia" w:ascii="仿宋_GB2312" w:hAnsi="宋体" w:eastAsia="仿宋_GB2312"/>
          <w:color w:val="000000"/>
          <w:kern w:val="0"/>
          <w:sz w:val="32"/>
          <w:szCs w:val="32"/>
          <w:shd w:val="clear" w:color="auto" w:fill="FFFFFF"/>
          <w:lang w:val="en-US" w:eastAsia="zh-CN"/>
        </w:rPr>
        <w:t>2016年度决算相比财政拨款本年收入</w:t>
      </w:r>
      <w:r>
        <w:rPr>
          <w:rFonts w:hint="eastAsia" w:ascii="仿宋_GB2312" w:hAnsi="宋体" w:eastAsia="仿宋_GB2312"/>
          <w:color w:val="000000"/>
          <w:kern w:val="0"/>
          <w:sz w:val="32"/>
          <w:szCs w:val="32"/>
          <w:shd w:val="clear" w:color="auto" w:fill="FFFFFF"/>
        </w:rPr>
        <w:t>增加1026.08万元，</w:t>
      </w:r>
      <w:r>
        <w:rPr>
          <w:rFonts w:hint="eastAsia" w:ascii="仿宋_GB2312" w:hAnsi="宋体" w:eastAsia="仿宋_GB2312"/>
          <w:color w:val="000000"/>
          <w:kern w:val="0"/>
          <w:sz w:val="32"/>
          <w:szCs w:val="32"/>
          <w:shd w:val="clear" w:color="auto" w:fill="FFFFFF"/>
          <w:lang w:eastAsia="zh-CN"/>
        </w:rPr>
        <w:t>增长</w:t>
      </w:r>
      <w:r>
        <w:rPr>
          <w:rFonts w:hint="eastAsia" w:ascii="仿宋_GB2312" w:hAnsi="宋体" w:eastAsia="仿宋_GB2312"/>
          <w:color w:val="000000"/>
          <w:kern w:val="0"/>
          <w:sz w:val="32"/>
          <w:szCs w:val="32"/>
          <w:shd w:val="clear" w:color="auto" w:fill="FFFFFF"/>
          <w:lang w:val="en-US" w:eastAsia="zh-CN"/>
        </w:rPr>
        <w:t>131%，</w:t>
      </w:r>
      <w:r>
        <w:rPr>
          <w:rFonts w:hint="eastAsia" w:ascii="仿宋_GB2312" w:hAnsi="宋体" w:eastAsia="仿宋_GB2312"/>
          <w:color w:val="000000"/>
          <w:kern w:val="0"/>
          <w:sz w:val="32"/>
          <w:szCs w:val="32"/>
          <w:shd w:val="clear" w:color="auto" w:fill="FFFFFF"/>
        </w:rPr>
        <w:t>主要原因是项目资金收入增加；</w:t>
      </w:r>
      <w:r>
        <w:rPr>
          <w:rFonts w:hint="eastAsia" w:ascii="仿宋_GB2312" w:hAnsi="宋体" w:eastAsia="仿宋_GB2312"/>
          <w:color w:val="000000"/>
          <w:kern w:val="0"/>
          <w:sz w:val="32"/>
          <w:szCs w:val="32"/>
          <w:shd w:val="clear" w:color="auto" w:fill="FFFFFF"/>
          <w:lang w:eastAsia="zh-CN"/>
        </w:rPr>
        <w:t>本年</w:t>
      </w:r>
      <w:r>
        <w:rPr>
          <w:rFonts w:hint="eastAsia" w:ascii="仿宋_GB2312" w:hAnsi="宋体" w:eastAsia="仿宋_GB2312"/>
          <w:color w:val="000000"/>
          <w:kern w:val="0"/>
          <w:sz w:val="32"/>
          <w:szCs w:val="32"/>
          <w:shd w:val="clear" w:color="auto" w:fill="FFFFFF"/>
        </w:rPr>
        <w:t>支出增加1026.08万元，</w:t>
      </w:r>
      <w:r>
        <w:rPr>
          <w:rFonts w:hint="eastAsia" w:ascii="仿宋_GB2312" w:hAnsi="宋体" w:eastAsia="仿宋_GB2312"/>
          <w:color w:val="000000"/>
          <w:kern w:val="0"/>
          <w:sz w:val="32"/>
          <w:szCs w:val="32"/>
          <w:shd w:val="clear" w:color="auto" w:fill="FFFFFF"/>
          <w:lang w:eastAsia="zh-CN"/>
        </w:rPr>
        <w:t>增长</w:t>
      </w:r>
      <w:r>
        <w:rPr>
          <w:rFonts w:hint="eastAsia" w:ascii="仿宋_GB2312" w:hAnsi="宋体" w:eastAsia="仿宋_GB2312"/>
          <w:color w:val="000000"/>
          <w:kern w:val="0"/>
          <w:sz w:val="32"/>
          <w:szCs w:val="32"/>
          <w:shd w:val="clear" w:color="auto" w:fill="FFFFFF"/>
          <w:lang w:val="en-US" w:eastAsia="zh-CN"/>
        </w:rPr>
        <w:t>131%，</w:t>
      </w:r>
      <w:r>
        <w:rPr>
          <w:rFonts w:hint="eastAsia" w:ascii="仿宋_GB2312" w:hAnsi="宋体" w:eastAsia="仿宋_GB2312"/>
          <w:color w:val="000000"/>
          <w:kern w:val="0"/>
          <w:sz w:val="32"/>
          <w:szCs w:val="32"/>
          <w:shd w:val="clear" w:color="auto" w:fill="FFFFFF"/>
        </w:rPr>
        <w:t>主要原因是项目资金支出增加。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万元、本年收入</w:t>
      </w:r>
      <w:r>
        <w:rPr>
          <w:rFonts w:hint="eastAsia" w:ascii="仿宋_GB2312" w:eastAsia="仿宋_GB2312" w:cs="DengXian-Regular"/>
          <w:sz w:val="32"/>
          <w:szCs w:val="32"/>
          <w:lang w:val="en-US" w:eastAsia="zh-CN"/>
        </w:rPr>
        <w:t>804.74</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804.74</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年末结转和结余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万元。与2016年度决算相比，一般公共预算财政拨款本年收入增加</w:t>
      </w:r>
      <w:r>
        <w:rPr>
          <w:rFonts w:hint="eastAsia" w:ascii="仿宋_GB2312" w:eastAsia="仿宋_GB2312" w:cs="DengXian-Regular"/>
          <w:sz w:val="32"/>
          <w:szCs w:val="32"/>
          <w:lang w:val="en-US" w:eastAsia="zh-CN"/>
        </w:rPr>
        <w:t>26.08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%，主要是</w:t>
      </w:r>
      <w:r>
        <w:rPr>
          <w:rFonts w:hint="eastAsia" w:ascii="仿宋_GB2312" w:hAnsi="宋体" w:eastAsia="仿宋_GB2312"/>
          <w:color w:val="000000"/>
          <w:kern w:val="0"/>
          <w:sz w:val="32"/>
          <w:szCs w:val="32"/>
          <w:shd w:val="clear" w:color="auto" w:fill="FFFFFF"/>
        </w:rPr>
        <w:t>项目资金收入增加</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26.08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w:t>
      </w:r>
      <w:r>
        <w:rPr>
          <w:rFonts w:hint="eastAsia" w:ascii="仿宋_GB2312" w:eastAsia="仿宋_GB2312" w:cs="DengXian-Regular"/>
          <w:sz w:val="32"/>
          <w:szCs w:val="32"/>
        </w:rPr>
        <w:t>%，主要是</w:t>
      </w:r>
      <w:r>
        <w:rPr>
          <w:rFonts w:hint="eastAsia" w:ascii="仿宋_GB2312" w:hAnsi="宋体" w:eastAsia="仿宋_GB2312"/>
          <w:color w:val="000000"/>
          <w:kern w:val="0"/>
          <w:sz w:val="32"/>
          <w:szCs w:val="32"/>
          <w:shd w:val="clear" w:color="auto" w:fill="FFFFFF"/>
        </w:rPr>
        <w:t>项目资金</w:t>
      </w:r>
      <w:r>
        <w:rPr>
          <w:rFonts w:hint="eastAsia" w:ascii="仿宋_GB2312" w:hAnsi="宋体" w:eastAsia="仿宋_GB2312"/>
          <w:color w:val="000000"/>
          <w:kern w:val="0"/>
          <w:sz w:val="32"/>
          <w:szCs w:val="32"/>
          <w:shd w:val="clear" w:color="auto" w:fill="FFFFFF"/>
          <w:lang w:eastAsia="zh-CN"/>
        </w:rPr>
        <w:t>支出增加</w:t>
      </w:r>
      <w:r>
        <w:rPr>
          <w:rFonts w:hint="eastAsia" w:ascii="仿宋_GB2312" w:eastAsia="仿宋_GB2312" w:cs="DengXian-Regular"/>
          <w:sz w:val="32"/>
          <w:szCs w:val="32"/>
        </w:rPr>
        <w:t>。</w:t>
      </w:r>
    </w:p>
    <w:p>
      <w:pPr>
        <w:adjustRightInd w:val="0"/>
        <w:snapToGrid w:val="0"/>
        <w:spacing w:after="0" w:line="560" w:lineRule="exact"/>
        <w:ind w:firstLine="640" w:firstLineChars="200"/>
        <w:rPr>
          <w:rFonts w:hint="eastAsia" w:ascii="仿宋_GB2312" w:eastAsia="仿宋_GB2312" w:cs="DengXian-Regular"/>
          <w:sz w:val="32"/>
          <w:szCs w:val="32"/>
        </w:rPr>
      </w:pPr>
      <w:r>
        <w:rPr>
          <w:rFonts w:hint="eastAsia" w:ascii="仿宋_GB2312" w:eastAsia="仿宋_GB2312" w:cs="DengXian-Regular"/>
          <w:sz w:val="32"/>
          <w:szCs w:val="32"/>
        </w:rPr>
        <w:t>政府性基金预算财政拨款年初结转和结余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本年收入</w:t>
      </w:r>
      <w:r>
        <w:rPr>
          <w:rFonts w:hint="eastAsia" w:ascii="仿宋_GB2312" w:eastAsia="仿宋_GB2312" w:cs="DengXian-Regular"/>
          <w:sz w:val="32"/>
          <w:szCs w:val="32"/>
          <w:lang w:val="en-US" w:eastAsia="zh-CN"/>
        </w:rPr>
        <w:t>1000</w:t>
      </w:r>
      <w:r>
        <w:rPr>
          <w:rFonts w:hint="eastAsia" w:ascii="仿宋_GB2312" w:eastAsia="仿宋_GB2312" w:cs="DengXian-Regular"/>
          <w:sz w:val="32"/>
          <w:szCs w:val="32"/>
        </w:rPr>
        <w:t>万元；本年支出</w:t>
      </w:r>
      <w:r>
        <w:rPr>
          <w:rFonts w:hint="eastAsia" w:ascii="仿宋_GB2312" w:eastAsia="仿宋_GB2312" w:cs="DengXian-Regular"/>
          <w:sz w:val="32"/>
          <w:szCs w:val="32"/>
          <w:lang w:val="en-US" w:eastAsia="zh-CN"/>
        </w:rPr>
        <w:t>1000</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w:t>
      </w:r>
      <w:r>
        <w:rPr>
          <w:rFonts w:hint="eastAsia" w:ascii="仿宋_GB2312" w:eastAsia="仿宋_GB2312" w:cs="DengXian-Regular"/>
          <w:sz w:val="32"/>
          <w:szCs w:val="32"/>
        </w:rPr>
        <w:t>年末结转和结余</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万元。与2016年度决算相比，政府性基金预算财政拨款本年收入增加</w:t>
      </w:r>
      <w:r>
        <w:rPr>
          <w:rFonts w:hint="eastAsia" w:ascii="仿宋_GB2312" w:eastAsia="仿宋_GB2312" w:cs="DengXian-Regular"/>
          <w:sz w:val="32"/>
          <w:szCs w:val="32"/>
          <w:lang w:val="en-US" w:eastAsia="zh-CN"/>
        </w:rPr>
        <w:t>1000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w:t>
      </w:r>
      <w:r>
        <w:rPr>
          <w:rFonts w:hint="eastAsia" w:ascii="仿宋_GB2312" w:hAnsi="宋体" w:eastAsia="仿宋_GB2312"/>
          <w:color w:val="000000"/>
          <w:kern w:val="0"/>
          <w:sz w:val="32"/>
          <w:szCs w:val="32"/>
          <w:shd w:val="clear" w:color="auto" w:fill="FFFFFF"/>
        </w:rPr>
        <w:t>项目资金收入增加</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1000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w:t>
      </w:r>
      <w:r>
        <w:rPr>
          <w:rFonts w:hint="eastAsia" w:ascii="仿宋_GB2312" w:hAnsi="宋体" w:eastAsia="仿宋_GB2312"/>
          <w:color w:val="000000"/>
          <w:kern w:val="0"/>
          <w:sz w:val="32"/>
          <w:szCs w:val="32"/>
          <w:shd w:val="clear" w:color="auto" w:fill="FFFFFF"/>
        </w:rPr>
        <w:t>项目资金</w:t>
      </w:r>
      <w:r>
        <w:rPr>
          <w:rFonts w:hint="eastAsia" w:ascii="仿宋_GB2312" w:hAnsi="宋体" w:eastAsia="仿宋_GB2312"/>
          <w:color w:val="000000"/>
          <w:kern w:val="0"/>
          <w:sz w:val="32"/>
          <w:szCs w:val="32"/>
          <w:shd w:val="clear" w:color="auto" w:fill="FFFFFF"/>
          <w:lang w:eastAsia="zh-CN"/>
        </w:rPr>
        <w:t>支出增加</w:t>
      </w:r>
      <w:r>
        <w:rPr>
          <w:rFonts w:hint="eastAsia" w:ascii="仿宋_GB2312" w:eastAsia="仿宋_GB2312" w:cs="DengXian-Regular"/>
          <w:sz w:val="32"/>
          <w:szCs w:val="32"/>
        </w:rPr>
        <w:t>。</w:t>
      </w:r>
    </w:p>
    <w:p>
      <w:pPr>
        <w:spacing w:after="0" w:line="560" w:lineRule="exact"/>
        <w:ind w:firstLine="640" w:firstLineChars="200"/>
        <w:rPr>
          <w:rFonts w:ascii="仿宋_GB2312" w:eastAsia="仿宋_GB2312" w:cs="DengXian-Bold"/>
          <w:b w:val="0"/>
          <w:bCs w:val="0"/>
          <w:sz w:val="32"/>
          <w:szCs w:val="32"/>
        </w:rPr>
      </w:pPr>
      <w:r>
        <w:rPr>
          <w:rFonts w:hint="eastAsia" w:ascii="楷体_GB2312" w:eastAsia="楷体_GB2312" w:cs="DengXian-Bold"/>
          <w:b w:val="0"/>
          <w:bCs w:val="0"/>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2017年度财政拨款本年收入较2017年初预算增加</w:t>
      </w:r>
      <w:r>
        <w:rPr>
          <w:rFonts w:hint="eastAsia" w:ascii="仿宋_GB2312" w:eastAsia="仿宋_GB2312" w:cs="DengXian-Regular"/>
          <w:sz w:val="32"/>
          <w:szCs w:val="32"/>
          <w:lang w:val="en-US" w:eastAsia="zh-CN"/>
        </w:rPr>
        <w:t>1418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367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调整项目资金拨款</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1418</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367</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调整项目资金支出</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w:t>
      </w:r>
      <w:r>
        <w:rPr>
          <w:rFonts w:hint="eastAsia" w:ascii="仿宋_GB2312" w:eastAsia="仿宋_GB2312" w:cs="DengXian-Regular"/>
          <w:sz w:val="32"/>
          <w:szCs w:val="32"/>
          <w:lang w:val="en-US" w:eastAsia="zh-CN"/>
        </w:rPr>
        <w:t>418.74</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108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调整财政经费拨款、人员增资</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418.74</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108</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调整财政经费拨款、人员增资</w:t>
      </w:r>
      <w:r>
        <w:rPr>
          <w:rFonts w:hint="eastAsia" w:ascii="仿宋_GB2312" w:eastAsia="仿宋_GB2312" w:cs="DengXian-Regular"/>
          <w:sz w:val="32"/>
          <w:szCs w:val="32"/>
        </w:rPr>
        <w:t>。</w:t>
      </w:r>
    </w:p>
    <w:p>
      <w:pPr>
        <w:adjustRightInd w:val="0"/>
        <w:snapToGrid w:val="0"/>
        <w:spacing w:after="0" w:line="560" w:lineRule="exact"/>
        <w:ind w:firstLine="640" w:firstLineChars="200"/>
        <w:rPr>
          <w:rFonts w:hint="eastAsia" w:ascii="仿宋_GB2312" w:eastAsia="仿宋_GB2312" w:cs="DengXian-Regular"/>
          <w:b w:val="0"/>
          <w:bCs w:val="0"/>
          <w:sz w:val="32"/>
          <w:szCs w:val="32"/>
        </w:rPr>
      </w:pPr>
      <w:r>
        <w:rPr>
          <w:rFonts w:hint="eastAsia" w:ascii="仿宋_GB2312" w:eastAsia="仿宋_GB2312" w:cs="DengXian-Regular"/>
          <w:sz w:val="32"/>
          <w:szCs w:val="32"/>
        </w:rPr>
        <w:t>本部门2017年度政府性基金预算财政拨款本年收入较2017年初预算增加</w:t>
      </w:r>
      <w:r>
        <w:rPr>
          <w:rFonts w:hint="eastAsia" w:ascii="仿宋_GB2312" w:eastAsia="仿宋_GB2312" w:cs="DengXian-Regular"/>
          <w:sz w:val="32"/>
          <w:szCs w:val="32"/>
          <w:lang w:val="en-US" w:eastAsia="zh-CN"/>
        </w:rPr>
        <w:t>1000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调整项目资金拨款</w:t>
      </w:r>
      <w:r>
        <w:rPr>
          <w:rFonts w:hint="eastAsia" w:ascii="仿宋_GB2312" w:eastAsia="仿宋_GB2312" w:cs="DengXian-Regular"/>
          <w:sz w:val="32"/>
          <w:szCs w:val="32"/>
        </w:rPr>
        <w:t>；本年支出增加</w:t>
      </w:r>
      <w:r>
        <w:rPr>
          <w:rFonts w:hint="eastAsia" w:ascii="仿宋_GB2312" w:eastAsia="仿宋_GB2312" w:cs="DengXian-Regular"/>
          <w:sz w:val="32"/>
          <w:szCs w:val="32"/>
          <w:lang w:val="en-US" w:eastAsia="zh-CN"/>
        </w:rPr>
        <w:t>1000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调整项目资金拨款</w:t>
      </w:r>
      <w:r>
        <w:rPr>
          <w:rFonts w:hint="eastAsia" w:ascii="仿宋_GB2312" w:eastAsia="仿宋_GB2312" w:cs="DengXian-Regular"/>
          <w:sz w:val="32"/>
          <w:szCs w:val="32"/>
        </w:rPr>
        <w:t>。</w:t>
      </w:r>
    </w:p>
    <w:p>
      <w:pPr>
        <w:widowControl/>
        <w:numPr>
          <w:ilvl w:val="0"/>
          <w:numId w:val="2"/>
        </w:numPr>
        <w:shd w:val="clear" w:color="auto" w:fill="FFFFFF"/>
        <w:spacing w:line="315" w:lineRule="atLeast"/>
        <w:ind w:left="0" w:leftChars="0" w:firstLine="480" w:firstLineChars="0"/>
        <w:jc w:val="left"/>
        <w:rPr>
          <w:rFonts w:hint="eastAsia" w:ascii="仿宋_GB2312" w:hAnsi="微软雅黑" w:eastAsia="仿宋_GB2312"/>
          <w:color w:val="3E3E3E"/>
          <w:sz w:val="32"/>
          <w:szCs w:val="32"/>
        </w:rPr>
      </w:pPr>
      <w:r>
        <w:rPr>
          <w:rFonts w:hint="eastAsia" w:ascii="仿宋_GB2312" w:hAnsi="微软雅黑" w:eastAsia="仿宋_GB2312"/>
          <w:color w:val="3E3E3E"/>
          <w:sz w:val="32"/>
          <w:szCs w:val="32"/>
        </w:rPr>
        <w:t>“三公”经费支出决算情况说明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2017年度“三公”经费支出共计</w:t>
      </w:r>
      <w:r>
        <w:rPr>
          <w:rFonts w:hint="eastAsia" w:ascii="仿宋_GB2312" w:eastAsia="仿宋_GB2312" w:cs="DengXian-Regular"/>
          <w:sz w:val="32"/>
          <w:szCs w:val="32"/>
          <w:lang w:val="en-US" w:eastAsia="zh-CN"/>
        </w:rPr>
        <w:t>4.88</w:t>
      </w:r>
      <w:r>
        <w:rPr>
          <w:rFonts w:hint="eastAsia" w:ascii="仿宋_GB2312" w:eastAsia="仿宋_GB2312" w:cs="DengXian-Regular"/>
          <w:sz w:val="32"/>
          <w:szCs w:val="32"/>
        </w:rPr>
        <w:t>万元，较年初预算减少</w:t>
      </w:r>
      <w:r>
        <w:rPr>
          <w:rFonts w:hint="eastAsia" w:ascii="仿宋_GB2312" w:eastAsia="仿宋_GB2312" w:cs="DengXian-Regular"/>
          <w:sz w:val="32"/>
          <w:szCs w:val="32"/>
          <w:lang w:val="en-US" w:eastAsia="zh-CN"/>
        </w:rPr>
        <w:t>3.32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40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未发生公务接待费支出</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0.21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4</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压减公车支出</w:t>
      </w:r>
      <w:r>
        <w:rPr>
          <w:rFonts w:hint="eastAsia" w:ascii="仿宋_GB2312" w:eastAsia="仿宋_GB2312" w:cs="DengXian-Regular"/>
          <w:sz w:val="32"/>
          <w:szCs w:val="32"/>
        </w:rPr>
        <w:t>。具体情况如下：</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楷体_GB2312" w:eastAsia="楷体_GB2312" w:cs="DengXian-Bold"/>
          <w:b w:val="0"/>
          <w:bCs w:val="0"/>
          <w:sz w:val="32"/>
          <w:szCs w:val="32"/>
        </w:rPr>
        <w:t>（一）因公出国（境）费支出</w:t>
      </w:r>
      <w:r>
        <w:rPr>
          <w:rFonts w:hint="eastAsia" w:ascii="楷体_GB2312" w:eastAsia="楷体_GB2312" w:cs="DengXian-Bold"/>
          <w:b w:val="0"/>
          <w:bCs w:val="0"/>
          <w:sz w:val="32"/>
          <w:szCs w:val="32"/>
          <w:lang w:val="en-US" w:eastAsia="zh-CN"/>
        </w:rPr>
        <w:t>0</w:t>
      </w:r>
      <w:r>
        <w:rPr>
          <w:rFonts w:hint="eastAsia" w:ascii="楷体_GB2312" w:eastAsia="楷体_GB2312" w:cs="DengXian-Bold"/>
          <w:b w:val="0"/>
          <w:bCs w:val="0"/>
          <w:sz w:val="32"/>
          <w:szCs w:val="32"/>
        </w:rPr>
        <w:t>万元。</w:t>
      </w:r>
      <w:r>
        <w:rPr>
          <w:rFonts w:hint="eastAsia" w:ascii="仿宋_GB2312" w:eastAsia="仿宋_GB2312" w:cs="DengXian-Regular"/>
          <w:sz w:val="32"/>
          <w:szCs w:val="32"/>
        </w:rPr>
        <w:t>2017年度参加其他单位组织的因公出国（境）团组</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w:t>
      </w:r>
      <w:r>
        <w:rPr>
          <w:rFonts w:hint="eastAsia" w:ascii="仿宋_GB2312" w:eastAsia="仿宋_GB2312" w:cs="DengXian-Regular"/>
          <w:sz w:val="32"/>
          <w:szCs w:val="32"/>
          <w:lang w:eastAsia="zh-CN"/>
        </w:rPr>
        <w:t>，</w:t>
      </w:r>
      <w:r>
        <w:rPr>
          <w:rFonts w:hint="eastAsia" w:ascii="仿宋_GB2312" w:eastAsia="仿宋_GB2312" w:cs="DengXian-Regular"/>
          <w:sz w:val="32"/>
          <w:szCs w:val="32"/>
        </w:rPr>
        <w:t>无本单位组织的出国（境）团组。因公出国（境）费支出较年初预算增加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万元，增长（降低）</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未发生因公出国费支出</w:t>
      </w:r>
      <w:r>
        <w:rPr>
          <w:rFonts w:hint="eastAsia" w:ascii="仿宋_GB2312" w:eastAsia="仿宋_GB2312" w:cs="DengXian-Regular"/>
          <w:sz w:val="32"/>
          <w:szCs w:val="32"/>
        </w:rPr>
        <w:t>；较2016年度决算增加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未发生因公出国费支出</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Bold"/>
          <w:b/>
          <w:bCs/>
          <w:sz w:val="32"/>
          <w:szCs w:val="32"/>
        </w:rPr>
      </w:pPr>
      <w:r>
        <w:rPr>
          <w:rFonts w:hint="eastAsia" w:ascii="楷体_GB2312" w:eastAsia="楷体_GB2312" w:cs="DengXian-Bold"/>
          <w:b w:val="0"/>
          <w:bCs w:val="0"/>
          <w:sz w:val="32"/>
          <w:szCs w:val="32"/>
        </w:rPr>
        <w:t>（二）公务用车购置及运行维护费支出</w:t>
      </w:r>
      <w:r>
        <w:rPr>
          <w:rFonts w:hint="eastAsia" w:ascii="楷体_GB2312" w:eastAsia="楷体_GB2312" w:cs="DengXian-Bold"/>
          <w:b w:val="0"/>
          <w:bCs w:val="0"/>
          <w:sz w:val="32"/>
          <w:szCs w:val="32"/>
          <w:lang w:val="en-US" w:eastAsia="zh-CN"/>
        </w:rPr>
        <w:t>4.88</w:t>
      </w:r>
      <w:r>
        <w:rPr>
          <w:rFonts w:hint="eastAsia" w:ascii="楷体_GB2312" w:eastAsia="楷体_GB2312" w:cs="DengXian-Bold"/>
          <w:b w:val="0"/>
          <w:bCs w:val="0"/>
          <w:sz w:val="32"/>
          <w:szCs w:val="32"/>
        </w:rPr>
        <w:t>万元。</w:t>
      </w:r>
      <w:r>
        <w:rPr>
          <w:rFonts w:hint="eastAsia" w:ascii="仿宋_GB2312" w:eastAsia="仿宋_GB2312" w:cs="DengXian-Regular"/>
          <w:sz w:val="32"/>
          <w:szCs w:val="32"/>
        </w:rPr>
        <w:t>2017年度公务用车购置及运行维护费较年初预算减少</w:t>
      </w:r>
      <w:r>
        <w:rPr>
          <w:rFonts w:hint="eastAsia" w:ascii="仿宋_GB2312" w:eastAsia="仿宋_GB2312" w:cs="DengXian-Regular"/>
          <w:sz w:val="32"/>
          <w:szCs w:val="32"/>
          <w:lang w:val="en-US" w:eastAsia="zh-CN"/>
        </w:rPr>
        <w:t>0.52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压减开支</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0.11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压减开支</w:t>
      </w:r>
      <w:r>
        <w:rPr>
          <w:rFonts w:hint="eastAsia" w:ascii="仿宋_GB2312" w:eastAsia="仿宋_GB2312" w:cs="DengXian-Regular"/>
          <w:sz w:val="32"/>
          <w:szCs w:val="32"/>
        </w:rPr>
        <w:t>。</w:t>
      </w:r>
      <w:r>
        <w:rPr>
          <w:rFonts w:hint="eastAsia" w:ascii="仿宋_GB2312" w:eastAsia="仿宋_GB2312" w:cs="DengXian-Bold"/>
          <w:b w:val="0"/>
          <w:bCs w:val="0"/>
          <w:sz w:val="32"/>
          <w:szCs w:val="32"/>
        </w:rPr>
        <w:t>其中：</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b w:val="0"/>
          <w:bCs/>
          <w:sz w:val="32"/>
          <w:szCs w:val="32"/>
        </w:rPr>
        <w:t>公务用车购置费：</w:t>
      </w:r>
      <w:r>
        <w:rPr>
          <w:rFonts w:hint="eastAsia" w:ascii="仿宋_GB2312" w:eastAsia="仿宋_GB2312" w:cs="DengXian-Regular"/>
          <w:sz w:val="32"/>
          <w:szCs w:val="32"/>
        </w:rPr>
        <w:t>2017年度公务用车购置量</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辆，发生“公务用车购置”经费支出</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万元。公务用车购置费支出较年初预算增加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未购置车辆</w:t>
      </w:r>
      <w:r>
        <w:rPr>
          <w:rFonts w:hint="eastAsia" w:ascii="仿宋_GB2312" w:eastAsia="仿宋_GB2312" w:cs="DengXian-Regular"/>
          <w:sz w:val="32"/>
          <w:szCs w:val="32"/>
        </w:rPr>
        <w:t>；较2016年度决算增加</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万元，增长</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未购置车辆</w:t>
      </w:r>
      <w:r>
        <w:rPr>
          <w:rFonts w:hint="eastAsia" w:ascii="仿宋_GB2312" w:eastAsia="仿宋_GB2312" w:cs="DengXian-Regular"/>
          <w:sz w:val="32"/>
          <w:szCs w:val="32"/>
        </w:rPr>
        <w:t>。</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b w:val="0"/>
          <w:bCs/>
          <w:sz w:val="32"/>
          <w:szCs w:val="32"/>
        </w:rPr>
        <w:t>公务用车运行维护费：</w:t>
      </w:r>
      <w:r>
        <w:rPr>
          <w:rFonts w:hint="eastAsia" w:ascii="仿宋_GB2312" w:eastAsia="仿宋_GB2312" w:cs="DengXian-Regular"/>
          <w:sz w:val="32"/>
          <w:szCs w:val="32"/>
        </w:rPr>
        <w:t>2017年度单位公务用车保有量</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辆。公车运行维护费支出较年初预算减少</w:t>
      </w:r>
      <w:r>
        <w:rPr>
          <w:rFonts w:hint="eastAsia" w:ascii="仿宋_GB2312" w:eastAsia="仿宋_GB2312" w:cs="DengXian-Regular"/>
          <w:sz w:val="32"/>
          <w:szCs w:val="32"/>
          <w:lang w:val="en-US" w:eastAsia="zh-CN"/>
        </w:rPr>
        <w:t>0.52</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压减开支</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0.11</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%，主要是</w:t>
      </w:r>
      <w:r>
        <w:rPr>
          <w:rFonts w:hint="eastAsia" w:ascii="仿宋_GB2312" w:eastAsia="仿宋_GB2312" w:cs="DengXian-Regular"/>
          <w:sz w:val="32"/>
          <w:szCs w:val="32"/>
          <w:lang w:eastAsia="zh-CN"/>
        </w:rPr>
        <w:t>压减开支</w:t>
      </w:r>
      <w:r>
        <w:rPr>
          <w:rFonts w:hint="eastAsia" w:ascii="仿宋_GB2312" w:eastAsia="仿宋_GB2312" w:cs="DengXian-Regular"/>
          <w:sz w:val="32"/>
          <w:szCs w:val="32"/>
        </w:rPr>
        <w:t>。</w:t>
      </w:r>
    </w:p>
    <w:p>
      <w:pPr>
        <w:widowControl/>
        <w:numPr>
          <w:ilvl w:val="0"/>
          <w:numId w:val="0"/>
        </w:numPr>
        <w:shd w:val="clear" w:color="auto" w:fill="FFFFFF"/>
        <w:spacing w:line="315" w:lineRule="atLeast"/>
        <w:ind w:firstLine="640" w:firstLineChars="200"/>
        <w:jc w:val="left"/>
        <w:rPr>
          <w:rFonts w:hint="eastAsia" w:ascii="仿宋_GB2312" w:hAnsi="微软雅黑" w:eastAsia="仿宋_GB2312"/>
          <w:color w:val="3E3E3E"/>
          <w:sz w:val="32"/>
          <w:szCs w:val="32"/>
        </w:rPr>
      </w:pPr>
      <w:r>
        <w:rPr>
          <w:rFonts w:hint="eastAsia" w:ascii="楷体_GB2312" w:eastAsia="楷体_GB2312" w:cs="DengXian-Bold"/>
          <w:b w:val="0"/>
          <w:bCs w:val="0"/>
          <w:sz w:val="32"/>
          <w:szCs w:val="32"/>
        </w:rPr>
        <w:t>（三）公务接待费支出</w:t>
      </w:r>
      <w:r>
        <w:rPr>
          <w:rFonts w:hint="eastAsia" w:ascii="楷体_GB2312" w:eastAsia="楷体_GB2312" w:cs="DengXian-Bold"/>
          <w:b w:val="0"/>
          <w:bCs w:val="0"/>
          <w:sz w:val="32"/>
          <w:szCs w:val="32"/>
          <w:lang w:val="en-US" w:eastAsia="zh-CN"/>
        </w:rPr>
        <w:t>0</w:t>
      </w:r>
      <w:r>
        <w:rPr>
          <w:rFonts w:hint="eastAsia" w:ascii="楷体_GB2312" w:eastAsia="楷体_GB2312" w:cs="DengXian-Bold"/>
          <w:b w:val="0"/>
          <w:bCs w:val="0"/>
          <w:sz w:val="32"/>
          <w:szCs w:val="32"/>
        </w:rPr>
        <w:t>万元。</w:t>
      </w:r>
      <w:r>
        <w:rPr>
          <w:rFonts w:hint="eastAsia" w:ascii="仿宋_GB2312" w:eastAsia="仿宋_GB2312" w:cs="DengXian-Regular"/>
          <w:sz w:val="32"/>
          <w:szCs w:val="32"/>
        </w:rPr>
        <w:t>2017年度公务接待共</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批次、</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人次。公务接待费支出较年初预算减少</w:t>
      </w:r>
      <w:r>
        <w:rPr>
          <w:rFonts w:hint="eastAsia" w:ascii="仿宋_GB2312" w:eastAsia="仿宋_GB2312" w:cs="DengXian-Regular"/>
          <w:sz w:val="32"/>
          <w:szCs w:val="32"/>
          <w:lang w:val="en-US" w:eastAsia="zh-CN"/>
        </w:rPr>
        <w:t>2.8</w:t>
      </w:r>
      <w:r>
        <w:rPr>
          <w:rFonts w:hint="eastAsia" w:ascii="仿宋_GB2312" w:eastAsia="仿宋_GB2312" w:cs="DengXian-Regular"/>
          <w:sz w:val="32"/>
          <w:szCs w:val="32"/>
        </w:rPr>
        <w:t>万元，降低</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%,主要</w:t>
      </w:r>
      <w:r>
        <w:rPr>
          <w:rFonts w:hint="eastAsia" w:ascii="仿宋_GB2312" w:eastAsia="仿宋_GB2312" w:cs="DengXian-Regular"/>
          <w:sz w:val="32"/>
          <w:szCs w:val="32"/>
          <w:lang w:eastAsia="zh-CN"/>
        </w:rPr>
        <w:t>未发生公务接待支出</w:t>
      </w:r>
      <w:r>
        <w:rPr>
          <w:rFonts w:hint="eastAsia" w:ascii="仿宋_GB2312" w:eastAsia="仿宋_GB2312" w:cs="DengXian-Regular"/>
          <w:sz w:val="32"/>
          <w:szCs w:val="32"/>
        </w:rPr>
        <w:t>；较2016年度决算减少</w:t>
      </w:r>
      <w:r>
        <w:rPr>
          <w:rFonts w:hint="eastAsia" w:ascii="仿宋_GB2312" w:eastAsia="仿宋_GB2312" w:cs="DengXian-Regular"/>
          <w:sz w:val="32"/>
          <w:szCs w:val="32"/>
          <w:lang w:val="en-US" w:eastAsia="zh-CN"/>
        </w:rPr>
        <w:t>2.8</w:t>
      </w:r>
      <w:r>
        <w:rPr>
          <w:rFonts w:hint="eastAsia" w:ascii="仿宋_GB2312" w:eastAsia="仿宋_GB2312" w:cs="DengXian-Regular"/>
          <w:sz w:val="32"/>
          <w:szCs w:val="32"/>
        </w:rPr>
        <w:t>元，降低</w:t>
      </w:r>
      <w:r>
        <w:rPr>
          <w:rFonts w:hint="eastAsia" w:ascii="仿宋_GB2312" w:eastAsia="仿宋_GB2312" w:cs="DengXian-Regular"/>
          <w:sz w:val="32"/>
          <w:szCs w:val="32"/>
          <w:lang w:val="en-US" w:eastAsia="zh-CN"/>
        </w:rPr>
        <w:t>100</w:t>
      </w:r>
      <w:r>
        <w:rPr>
          <w:rFonts w:hint="eastAsia" w:ascii="仿宋_GB2312" w:eastAsia="仿宋_GB2312" w:cs="DengXian-Regular"/>
          <w:sz w:val="32"/>
          <w:szCs w:val="32"/>
        </w:rPr>
        <w:t>%,</w:t>
      </w: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t>六、预算绩效管理情况</w:t>
      </w:r>
    </w:p>
    <w:p>
      <w:pPr>
        <w:widowControl/>
        <w:shd w:val="clear" w:color="auto" w:fill="FFFFFF"/>
        <w:ind w:firstLine="640" w:firstLineChars="200"/>
        <w:jc w:val="left"/>
        <w:rPr>
          <w:rFonts w:ascii="仿宋_GB2312" w:hAnsi="宋体" w:eastAsia="仿宋_GB2312"/>
          <w:color w:val="000000"/>
          <w:kern w:val="0"/>
          <w:sz w:val="32"/>
          <w:szCs w:val="32"/>
          <w:shd w:val="clear" w:color="auto" w:fill="FFFFFF"/>
        </w:rPr>
      </w:pPr>
      <w:r>
        <w:rPr>
          <w:rFonts w:hint="eastAsia" w:ascii="仿宋_GB2312" w:hAnsi="宋体" w:eastAsia="仿宋_GB2312" w:cs="宋体"/>
          <w:color w:val="000000"/>
          <w:kern w:val="0"/>
          <w:sz w:val="32"/>
          <w:szCs w:val="32"/>
        </w:rPr>
        <w:t>2017年上寨乡绩效预算指标分优（95%）、良（90%）、中（85%）、差（80%）四个档次。一年来，在乡党委、政府的领导下，各部门通力协作，按照各自绩效活动目标，努力工作，年度考核，工作完成率均达到90%以上。</w:t>
      </w:r>
    </w:p>
    <w:p>
      <w:pPr>
        <w:widowControl/>
        <w:shd w:val="clear" w:color="auto" w:fill="FFFFFF"/>
        <w:spacing w:line="315" w:lineRule="atLeast"/>
        <w:ind w:firstLine="480"/>
        <w:jc w:val="left"/>
        <w:rPr>
          <w:rFonts w:ascii="仿宋_GB2312" w:hAnsi="宋体" w:eastAsia="仿宋_GB2312"/>
          <w:color w:val="000000"/>
          <w:kern w:val="0"/>
          <w:sz w:val="32"/>
          <w:szCs w:val="32"/>
          <w:shd w:val="clear" w:color="auto" w:fill="FFFFFF"/>
        </w:rPr>
      </w:pPr>
      <w:r>
        <w:rPr>
          <w:rFonts w:hint="eastAsia" w:ascii="仿宋_GB2312" w:hAnsi="宋体" w:eastAsia="仿宋_GB2312"/>
          <w:color w:val="000000"/>
          <w:kern w:val="0"/>
          <w:sz w:val="32"/>
          <w:szCs w:val="32"/>
          <w:shd w:val="clear" w:color="auto" w:fill="FFFFFF"/>
        </w:rPr>
        <w:t>七、</w:t>
      </w:r>
      <w:r>
        <w:rPr>
          <w:rFonts w:hint="eastAsia" w:ascii="仿宋_GB2312" w:hAnsi="微软雅黑" w:eastAsia="仿宋_GB2312"/>
          <w:sz w:val="32"/>
          <w:szCs w:val="32"/>
        </w:rPr>
        <w:t>其他重要事项的说明</w:t>
      </w:r>
    </w:p>
    <w:p>
      <w:pPr>
        <w:pStyle w:val="4"/>
        <w:shd w:val="clear" w:color="auto" w:fill="FFFFFF"/>
        <w:spacing w:before="0" w:beforeAutospacing="0" w:after="0" w:afterAutospacing="0" w:line="384" w:lineRule="atLeast"/>
        <w:ind w:firstLine="640" w:firstLineChars="200"/>
        <w:rPr>
          <w:rFonts w:ascii="仿宋_GB2312" w:hAnsi="微软雅黑" w:eastAsia="仿宋_GB2312"/>
          <w:sz w:val="32"/>
          <w:szCs w:val="32"/>
        </w:rPr>
      </w:pPr>
      <w:r>
        <w:rPr>
          <w:rFonts w:hint="eastAsia" w:ascii="仿宋_GB2312" w:hAnsi="微软雅黑" w:eastAsia="仿宋_GB2312"/>
          <w:sz w:val="32"/>
          <w:szCs w:val="32"/>
        </w:rPr>
        <w:t>1、机关运行经费情况</w:t>
      </w:r>
    </w:p>
    <w:p>
      <w:pPr>
        <w:pStyle w:val="4"/>
        <w:shd w:val="clear" w:color="auto" w:fill="FFFFFF"/>
        <w:spacing w:before="0" w:beforeAutospacing="0" w:after="0" w:afterAutospacing="0" w:line="580" w:lineRule="exact"/>
        <w:ind w:firstLine="640" w:firstLineChars="200"/>
        <w:rPr>
          <w:rFonts w:ascii="微软雅黑" w:hAnsi="微软雅黑" w:eastAsia="微软雅黑"/>
          <w:sz w:val="32"/>
          <w:szCs w:val="32"/>
        </w:rPr>
      </w:pPr>
      <w:r>
        <w:rPr>
          <w:rFonts w:hint="eastAsia" w:ascii="仿宋_GB2312" w:eastAsia="仿宋_GB2312"/>
          <w:color w:val="000000"/>
          <w:sz w:val="32"/>
          <w:szCs w:val="32"/>
          <w:shd w:val="clear" w:color="auto" w:fill="FFFFFF"/>
        </w:rPr>
        <w:t>2017年上寨乡机关运行经费支出191.44万元，</w:t>
      </w:r>
      <w:r>
        <w:rPr>
          <w:rFonts w:hint="eastAsia" w:ascii="仿宋_GB2312" w:eastAsia="仿宋_GB2312"/>
          <w:color w:val="000000"/>
          <w:sz w:val="32"/>
          <w:szCs w:val="32"/>
        </w:rPr>
        <w:t>主要包括：办公费</w:t>
      </w:r>
      <w:r>
        <w:rPr>
          <w:rFonts w:hint="eastAsia" w:ascii="仿宋_GB2312" w:eastAsia="仿宋_GB2312"/>
          <w:color w:val="000000"/>
          <w:sz w:val="32"/>
          <w:szCs w:val="32"/>
          <w:lang w:val="en-US" w:eastAsia="zh-CN"/>
        </w:rPr>
        <w:t>40.98万元</w:t>
      </w:r>
      <w:r>
        <w:rPr>
          <w:rFonts w:hint="eastAsia" w:ascii="仿宋_GB2312" w:eastAsia="仿宋_GB2312"/>
          <w:color w:val="000000"/>
          <w:sz w:val="32"/>
          <w:szCs w:val="32"/>
        </w:rPr>
        <w:t>、印刷费</w:t>
      </w:r>
      <w:r>
        <w:rPr>
          <w:rFonts w:hint="eastAsia" w:ascii="仿宋_GB2312" w:eastAsia="仿宋_GB2312"/>
          <w:color w:val="000000"/>
          <w:sz w:val="32"/>
          <w:szCs w:val="32"/>
          <w:lang w:val="en-US" w:eastAsia="zh-CN"/>
        </w:rPr>
        <w:t>15.75万元</w:t>
      </w:r>
      <w:r>
        <w:rPr>
          <w:rFonts w:hint="eastAsia" w:ascii="仿宋_GB2312" w:eastAsia="仿宋_GB2312"/>
          <w:color w:val="000000"/>
          <w:sz w:val="32"/>
          <w:szCs w:val="32"/>
        </w:rPr>
        <w:t>、水电费</w:t>
      </w:r>
      <w:r>
        <w:rPr>
          <w:rFonts w:hint="eastAsia" w:ascii="仿宋_GB2312" w:eastAsia="仿宋_GB2312"/>
          <w:color w:val="000000"/>
          <w:sz w:val="32"/>
          <w:szCs w:val="32"/>
          <w:lang w:val="en-US" w:eastAsia="zh-CN"/>
        </w:rPr>
        <w:t>10.5万元</w:t>
      </w:r>
      <w:r>
        <w:rPr>
          <w:rFonts w:hint="eastAsia" w:ascii="仿宋_GB2312" w:eastAsia="仿宋_GB2312"/>
          <w:color w:val="000000"/>
          <w:sz w:val="32"/>
          <w:szCs w:val="32"/>
        </w:rPr>
        <w:t>、邮电费</w:t>
      </w:r>
      <w:r>
        <w:rPr>
          <w:rFonts w:hint="eastAsia" w:ascii="仿宋_GB2312" w:eastAsia="仿宋_GB2312"/>
          <w:color w:val="000000"/>
          <w:sz w:val="32"/>
          <w:szCs w:val="32"/>
          <w:lang w:val="en-US" w:eastAsia="zh-CN"/>
        </w:rPr>
        <w:t>3.1万元</w:t>
      </w:r>
      <w:r>
        <w:rPr>
          <w:rFonts w:hint="eastAsia" w:ascii="仿宋_GB2312" w:eastAsia="仿宋_GB2312"/>
          <w:color w:val="000000"/>
          <w:sz w:val="32"/>
          <w:szCs w:val="32"/>
        </w:rPr>
        <w:t>、</w:t>
      </w:r>
      <w:r>
        <w:rPr>
          <w:rFonts w:hint="eastAsia" w:ascii="仿宋_GB2312" w:eastAsia="仿宋_GB2312"/>
          <w:color w:val="000000"/>
          <w:sz w:val="32"/>
          <w:szCs w:val="32"/>
          <w:lang w:eastAsia="zh-CN"/>
        </w:rPr>
        <w:t>咨询费</w:t>
      </w:r>
      <w:r>
        <w:rPr>
          <w:rFonts w:hint="eastAsia" w:ascii="仿宋_GB2312" w:eastAsia="仿宋_GB2312"/>
          <w:color w:val="000000"/>
          <w:sz w:val="32"/>
          <w:szCs w:val="32"/>
          <w:lang w:val="en-US" w:eastAsia="zh-CN"/>
        </w:rPr>
        <w:t>1.5万元、</w:t>
      </w:r>
      <w:r>
        <w:rPr>
          <w:rFonts w:hint="eastAsia" w:ascii="仿宋_GB2312" w:eastAsia="仿宋_GB2312"/>
          <w:color w:val="000000"/>
          <w:sz w:val="32"/>
          <w:szCs w:val="32"/>
        </w:rPr>
        <w:t>差旅费</w:t>
      </w:r>
      <w:r>
        <w:rPr>
          <w:rFonts w:hint="eastAsia" w:ascii="仿宋_GB2312" w:eastAsia="仿宋_GB2312"/>
          <w:color w:val="000000"/>
          <w:sz w:val="32"/>
          <w:szCs w:val="32"/>
          <w:lang w:val="en-US" w:eastAsia="zh-CN"/>
        </w:rPr>
        <w:t>14.65万元、</w:t>
      </w:r>
      <w:r>
        <w:rPr>
          <w:rFonts w:hint="eastAsia" w:ascii="仿宋_GB2312" w:eastAsia="仿宋_GB2312"/>
          <w:color w:val="000000"/>
          <w:sz w:val="32"/>
          <w:szCs w:val="32"/>
          <w:lang w:eastAsia="zh-CN"/>
        </w:rPr>
        <w:t>取暖费</w:t>
      </w:r>
      <w:r>
        <w:rPr>
          <w:rFonts w:hint="eastAsia" w:ascii="仿宋_GB2312" w:eastAsia="仿宋_GB2312"/>
          <w:color w:val="000000"/>
          <w:sz w:val="32"/>
          <w:szCs w:val="32"/>
          <w:lang w:val="en-US" w:eastAsia="zh-CN"/>
        </w:rPr>
        <w:t>14.57万元</w:t>
      </w:r>
      <w:r>
        <w:rPr>
          <w:rFonts w:hint="eastAsia" w:ascii="仿宋_GB2312" w:eastAsia="仿宋_GB2312"/>
          <w:color w:val="000000"/>
          <w:sz w:val="32"/>
          <w:szCs w:val="32"/>
        </w:rPr>
        <w:t>、劳务费</w:t>
      </w:r>
      <w:r>
        <w:rPr>
          <w:rFonts w:hint="eastAsia" w:ascii="仿宋_GB2312" w:eastAsia="仿宋_GB2312"/>
          <w:color w:val="000000"/>
          <w:sz w:val="32"/>
          <w:szCs w:val="32"/>
          <w:lang w:val="en-US" w:eastAsia="zh-CN"/>
        </w:rPr>
        <w:t>74.35万元</w:t>
      </w:r>
      <w:r>
        <w:rPr>
          <w:rFonts w:hint="eastAsia" w:ascii="仿宋_GB2312" w:eastAsia="仿宋_GB2312"/>
          <w:color w:val="000000"/>
          <w:sz w:val="32"/>
          <w:szCs w:val="32"/>
        </w:rPr>
        <w:t>、公务用车运行维护费</w:t>
      </w:r>
      <w:r>
        <w:rPr>
          <w:rFonts w:hint="eastAsia" w:ascii="仿宋_GB2312" w:eastAsia="仿宋_GB2312"/>
          <w:color w:val="000000"/>
          <w:sz w:val="32"/>
          <w:szCs w:val="32"/>
          <w:lang w:val="en-US" w:eastAsia="zh-CN"/>
        </w:rPr>
        <w:t>4.88万元，其它交通费11.16万元</w:t>
      </w:r>
      <w:r>
        <w:rPr>
          <w:rFonts w:hint="eastAsia" w:ascii="仿宋_GB2312" w:eastAsia="仿宋_GB2312"/>
          <w:color w:val="000000"/>
          <w:sz w:val="32"/>
          <w:szCs w:val="32"/>
        </w:rPr>
        <w:t>。</w:t>
      </w:r>
      <w:r>
        <w:rPr>
          <w:rFonts w:hint="eastAsia" w:ascii="仿宋_GB2312" w:eastAsia="仿宋_GB2312"/>
          <w:color w:val="000000"/>
          <w:sz w:val="32"/>
          <w:szCs w:val="32"/>
          <w:shd w:val="clear" w:color="auto" w:fill="FFFFFF"/>
        </w:rPr>
        <w:t xml:space="preserve">比2016年减少了15.17万元。主要原因是：严格控制支出，减少浪费。 </w:t>
      </w:r>
    </w:p>
    <w:p>
      <w:pPr>
        <w:pStyle w:val="4"/>
        <w:shd w:val="clear" w:color="auto" w:fill="FFFFFF"/>
        <w:spacing w:before="0" w:beforeAutospacing="0" w:after="0" w:afterAutospacing="0" w:line="580" w:lineRule="exact"/>
        <w:ind w:firstLine="640" w:firstLineChars="200"/>
        <w:rPr>
          <w:rFonts w:ascii="微软雅黑" w:hAnsi="微软雅黑" w:eastAsia="微软雅黑"/>
          <w:sz w:val="32"/>
          <w:szCs w:val="32"/>
        </w:rPr>
      </w:pPr>
      <w:r>
        <w:rPr>
          <w:rFonts w:hint="eastAsia" w:ascii="仿宋_GB2312" w:hAnsi="微软雅黑" w:eastAsia="仿宋_GB2312"/>
          <w:sz w:val="32"/>
          <w:szCs w:val="32"/>
        </w:rPr>
        <w:t>2、政府采购情况：2017年度上寨乡采购无预算及支出情况。</w:t>
      </w:r>
    </w:p>
    <w:p>
      <w:pPr>
        <w:widowControl/>
        <w:shd w:val="clear" w:color="auto" w:fill="FFFFFF"/>
        <w:ind w:firstLine="640" w:firstLineChars="200"/>
        <w:jc w:val="left"/>
        <w:rPr>
          <w:rFonts w:hint="eastAsia" w:ascii="仿宋_GB2312" w:hAnsi="宋体" w:eastAsia="仿宋_GB2312" w:cs="宋体"/>
          <w:color w:val="000000"/>
          <w:kern w:val="0"/>
          <w:sz w:val="32"/>
          <w:szCs w:val="32"/>
        </w:rPr>
      </w:pPr>
      <w:r>
        <w:rPr>
          <w:rFonts w:hint="eastAsia" w:ascii="仿宋_GB2312" w:hAnsi="微软雅黑" w:eastAsia="仿宋_GB2312"/>
          <w:sz w:val="32"/>
          <w:szCs w:val="32"/>
        </w:rPr>
        <w:t>3、国有资产占用情况：截至2017年12月31日</w:t>
      </w:r>
      <w:r>
        <w:rPr>
          <w:rFonts w:hint="eastAsia" w:ascii="仿宋_GB2312" w:hAnsi="微软雅黑" w:eastAsia="仿宋_GB2312"/>
          <w:sz w:val="30"/>
          <w:szCs w:val="30"/>
          <w:lang w:eastAsia="zh-CN"/>
        </w:rPr>
        <w:t>，</w:t>
      </w:r>
      <w:r>
        <w:rPr>
          <w:rFonts w:hint="eastAsia" w:ascii="仿宋_GB2312" w:hAnsi="宋体" w:eastAsia="仿宋_GB2312" w:cs="宋体"/>
          <w:color w:val="000000"/>
          <w:kern w:val="0"/>
          <w:sz w:val="32"/>
          <w:szCs w:val="32"/>
        </w:rPr>
        <w:t>上寨乡固定资产总价为188.18万元，比2016年增加</w:t>
      </w:r>
      <w:r>
        <w:rPr>
          <w:rFonts w:hint="eastAsia" w:ascii="仿宋_GB2312" w:hAnsi="宋体" w:eastAsia="仿宋_GB2312" w:cs="宋体"/>
          <w:color w:val="000000"/>
          <w:kern w:val="0"/>
          <w:sz w:val="32"/>
          <w:szCs w:val="32"/>
          <w:lang w:val="en-US" w:eastAsia="zh-CN"/>
        </w:rPr>
        <w:t>10.37</w:t>
      </w:r>
      <w:r>
        <w:rPr>
          <w:rFonts w:hint="eastAsia" w:ascii="仿宋_GB2312" w:hAnsi="宋体" w:eastAsia="仿宋_GB2312" w:cs="宋体"/>
          <w:color w:val="000000"/>
          <w:kern w:val="0"/>
          <w:sz w:val="32"/>
          <w:szCs w:val="32"/>
        </w:rPr>
        <w:t>万元，增长</w:t>
      </w:r>
      <w:r>
        <w:rPr>
          <w:rFonts w:hint="eastAsia" w:ascii="仿宋_GB2312" w:hAnsi="宋体" w:eastAsia="仿宋_GB2312" w:cs="宋体"/>
          <w:color w:val="000000"/>
          <w:kern w:val="0"/>
          <w:sz w:val="32"/>
          <w:szCs w:val="32"/>
          <w:lang w:eastAsia="zh-CN"/>
        </w:rPr>
        <w:t>原因为上级固定资产划拨及</w:t>
      </w:r>
      <w:r>
        <w:rPr>
          <w:rFonts w:hint="eastAsia" w:ascii="仿宋_GB2312" w:hAnsi="宋体" w:eastAsia="仿宋_GB2312" w:cs="宋体"/>
          <w:color w:val="000000"/>
          <w:kern w:val="0"/>
          <w:sz w:val="32"/>
          <w:szCs w:val="32"/>
        </w:rPr>
        <w:t>办公设备需求增多。</w:t>
      </w:r>
      <w:r>
        <w:rPr>
          <w:rFonts w:hint="eastAsia" w:ascii="仿宋_GB2312" w:hAnsi="微软雅黑" w:eastAsia="仿宋_GB2312"/>
          <w:sz w:val="32"/>
          <w:szCs w:val="32"/>
        </w:rPr>
        <w:t>其中：车辆</w:t>
      </w:r>
      <w:r>
        <w:rPr>
          <w:rFonts w:hint="eastAsia" w:ascii="仿宋_GB2312" w:hAnsi="微软雅黑" w:eastAsia="仿宋_GB2312"/>
          <w:sz w:val="32"/>
          <w:szCs w:val="32"/>
          <w:lang w:val="en-US" w:eastAsia="zh-CN"/>
        </w:rPr>
        <w:t>2</w:t>
      </w:r>
      <w:r>
        <w:rPr>
          <w:rFonts w:hint="eastAsia" w:ascii="仿宋_GB2312" w:hAnsi="微软雅黑" w:eastAsia="仿宋_GB2312"/>
          <w:sz w:val="32"/>
          <w:szCs w:val="32"/>
        </w:rPr>
        <w:t>辆，全部为公务用车，价值</w:t>
      </w:r>
      <w:r>
        <w:rPr>
          <w:rFonts w:hint="eastAsia" w:ascii="仿宋_GB2312" w:hAnsi="微软雅黑" w:eastAsia="仿宋_GB2312"/>
          <w:sz w:val="32"/>
          <w:szCs w:val="32"/>
          <w:lang w:val="en-US" w:eastAsia="zh-CN"/>
        </w:rPr>
        <w:t>22.9</w:t>
      </w:r>
      <w:r>
        <w:rPr>
          <w:rFonts w:hint="eastAsia" w:ascii="仿宋_GB2312" w:hAnsi="微软雅黑" w:eastAsia="仿宋_GB2312"/>
          <w:sz w:val="32"/>
          <w:szCs w:val="32"/>
        </w:rPr>
        <w:t>万元，与2016年资产情况持平；</w:t>
      </w:r>
      <w:r>
        <w:rPr>
          <w:rFonts w:hint="eastAsia" w:ascii="仿宋_GB2312" w:hAnsi="宋体" w:eastAsia="仿宋_GB2312" w:cs="宋体"/>
          <w:color w:val="000000"/>
          <w:kern w:val="0"/>
          <w:sz w:val="32"/>
          <w:szCs w:val="32"/>
        </w:rPr>
        <w:t>房屋为</w:t>
      </w:r>
      <w:r>
        <w:rPr>
          <w:rFonts w:hint="eastAsia" w:ascii="仿宋_GB2312" w:hAnsi="宋体" w:eastAsia="仿宋_GB2312" w:cs="宋体"/>
          <w:color w:val="000000"/>
          <w:kern w:val="0"/>
          <w:sz w:val="32"/>
          <w:szCs w:val="32"/>
          <w:lang w:val="en-US" w:eastAsia="zh-CN"/>
        </w:rPr>
        <w:t>120.97</w:t>
      </w:r>
      <w:r>
        <w:rPr>
          <w:rFonts w:hint="eastAsia" w:ascii="仿宋_GB2312" w:hAnsi="宋体" w:eastAsia="仿宋_GB2312" w:cs="宋体"/>
          <w:color w:val="000000"/>
          <w:kern w:val="0"/>
          <w:sz w:val="32"/>
          <w:szCs w:val="32"/>
        </w:rPr>
        <w:t>万元，与2016年资产情况持平；办公等其他设备为</w:t>
      </w:r>
      <w:r>
        <w:rPr>
          <w:rFonts w:hint="eastAsia" w:ascii="仿宋_GB2312" w:hAnsi="宋体" w:eastAsia="仿宋_GB2312" w:cs="宋体"/>
          <w:color w:val="000000"/>
          <w:kern w:val="0"/>
          <w:sz w:val="32"/>
          <w:szCs w:val="32"/>
          <w:lang w:val="en-US" w:eastAsia="zh-CN"/>
        </w:rPr>
        <w:t>44.31</w:t>
      </w:r>
      <w:r>
        <w:rPr>
          <w:rFonts w:hint="eastAsia" w:ascii="仿宋_GB2312" w:hAnsi="宋体" w:eastAsia="仿宋_GB2312" w:cs="宋体"/>
          <w:color w:val="000000"/>
          <w:kern w:val="0"/>
          <w:sz w:val="32"/>
          <w:szCs w:val="32"/>
        </w:rPr>
        <w:t>万元，比2016年增加</w:t>
      </w:r>
      <w:r>
        <w:rPr>
          <w:rFonts w:hint="eastAsia" w:ascii="仿宋_GB2312" w:hAnsi="宋体" w:eastAsia="仿宋_GB2312" w:cs="宋体"/>
          <w:color w:val="000000"/>
          <w:kern w:val="0"/>
          <w:sz w:val="32"/>
          <w:szCs w:val="32"/>
          <w:lang w:val="en-US" w:eastAsia="zh-CN"/>
        </w:rPr>
        <w:t>10.37</w:t>
      </w:r>
      <w:r>
        <w:rPr>
          <w:rFonts w:hint="eastAsia" w:ascii="仿宋_GB2312" w:hAnsi="宋体" w:eastAsia="仿宋_GB2312" w:cs="宋体"/>
          <w:color w:val="000000"/>
          <w:kern w:val="0"/>
          <w:sz w:val="32"/>
          <w:szCs w:val="32"/>
        </w:rPr>
        <w:t>万元，增长原因为</w:t>
      </w:r>
      <w:r>
        <w:rPr>
          <w:rFonts w:hint="eastAsia" w:ascii="仿宋_GB2312" w:hAnsi="宋体" w:eastAsia="仿宋_GB2312" w:cs="宋体"/>
          <w:color w:val="000000"/>
          <w:kern w:val="0"/>
          <w:sz w:val="32"/>
          <w:szCs w:val="32"/>
          <w:lang w:eastAsia="zh-CN"/>
        </w:rPr>
        <w:t>上级固定资产划拨及</w:t>
      </w:r>
      <w:r>
        <w:rPr>
          <w:rFonts w:hint="eastAsia" w:ascii="仿宋_GB2312" w:hAnsi="宋体" w:eastAsia="仿宋_GB2312" w:cs="宋体"/>
          <w:color w:val="000000"/>
          <w:kern w:val="0"/>
          <w:sz w:val="32"/>
          <w:szCs w:val="32"/>
        </w:rPr>
        <w:t>办公设备需求增多。</w:t>
      </w:r>
    </w:p>
    <w:p>
      <w:pPr>
        <w:widowControl/>
        <w:shd w:val="clear" w:color="auto" w:fill="FFFFFF"/>
        <w:spacing w:line="580" w:lineRule="exact"/>
        <w:ind w:firstLine="640" w:firstLineChars="200"/>
        <w:jc w:val="left"/>
        <w:rPr>
          <w:rFonts w:ascii="仿宋_GB2312" w:hAnsi="宋体" w:eastAsia="仿宋_GB2312"/>
          <w:color w:val="000000"/>
          <w:kern w:val="0"/>
          <w:sz w:val="32"/>
          <w:szCs w:val="32"/>
          <w:shd w:val="clear" w:color="auto" w:fill="FFFFFF"/>
        </w:rPr>
      </w:pPr>
      <w:r>
        <w:rPr>
          <w:rFonts w:hint="eastAsia" w:ascii="仿宋_GB2312" w:hAnsi="微软雅黑" w:eastAsia="仿宋_GB2312"/>
          <w:sz w:val="32"/>
          <w:szCs w:val="32"/>
        </w:rPr>
        <w:t>4、其他需要说明的情况：</w:t>
      </w:r>
      <w:r>
        <w:rPr>
          <w:rFonts w:hint="eastAsia" w:ascii="仿宋_GB2312" w:hAnsi="宋体" w:eastAsia="仿宋_GB2312" w:cs="宋体"/>
          <w:color w:val="000000"/>
          <w:kern w:val="0"/>
          <w:sz w:val="32"/>
          <w:szCs w:val="32"/>
        </w:rPr>
        <w:t>2017年度上寨乡没有国有资产经营预算财政拨款收入支出情况。</w:t>
      </w:r>
    </w:p>
    <w:p>
      <w:pPr>
        <w:widowControl/>
        <w:shd w:val="clear" w:color="auto" w:fill="FFFFFF"/>
        <w:spacing w:line="315" w:lineRule="atLeast"/>
        <w:ind w:firstLine="480"/>
        <w:jc w:val="left"/>
        <w:rPr>
          <w:rFonts w:ascii="仿宋_GB2312" w:hAnsi="宋体" w:eastAsia="仿宋_GB2312"/>
          <w:b/>
          <w:color w:val="000000"/>
          <w:sz w:val="32"/>
          <w:szCs w:val="32"/>
        </w:rPr>
      </w:pPr>
      <w:r>
        <w:rPr>
          <w:rFonts w:hint="eastAsia" w:ascii="仿宋_GB2312" w:hAnsi="宋体" w:eastAsia="仿宋_GB2312"/>
          <w:b/>
          <w:color w:val="000000"/>
          <w:kern w:val="0"/>
          <w:sz w:val="32"/>
          <w:szCs w:val="32"/>
          <w:shd w:val="clear" w:color="auto" w:fill="FFFFFF"/>
        </w:rPr>
        <w:t>第四部分 名词解释</w:t>
      </w:r>
    </w:p>
    <w:p>
      <w:pPr>
        <w:ind w:firstLine="640"/>
        <w:rPr>
          <w:rFonts w:ascii="仿宋_GB2312" w:eastAsia="仿宋_GB2312"/>
          <w:sz w:val="32"/>
          <w:szCs w:val="32"/>
        </w:rPr>
      </w:pPr>
      <w:r>
        <w:rPr>
          <w:rFonts w:hint="eastAsia" w:ascii="仿宋_GB2312" w:eastAsia="仿宋_GB2312"/>
          <w:sz w:val="32"/>
          <w:szCs w:val="32"/>
        </w:rPr>
        <w:t>（一）财政拨款收入：本年度从本级财政部门取得的财政拨款，包括一般公共预算财政拨款和政府性基金预算财政拨款。</w:t>
      </w:r>
    </w:p>
    <w:p>
      <w:pPr>
        <w:ind w:firstLine="640"/>
        <w:rPr>
          <w:rFonts w:ascii="仿宋_GB2312" w:eastAsia="仿宋_GB2312"/>
          <w:sz w:val="32"/>
          <w:szCs w:val="32"/>
        </w:rPr>
      </w:pPr>
      <w:r>
        <w:rPr>
          <w:rFonts w:hint="eastAsia" w:ascii="仿宋_GB2312" w:eastAsia="仿宋_GB2312"/>
          <w:sz w:val="32"/>
          <w:szCs w:val="32"/>
        </w:rPr>
        <w:t>（二）事业收入：指事业单位开展专业业务活动及辅助活动所取得的收入。</w:t>
      </w:r>
    </w:p>
    <w:p>
      <w:pPr>
        <w:ind w:firstLine="640"/>
        <w:rPr>
          <w:rFonts w:ascii="仿宋_GB2312" w:eastAsia="仿宋_GB2312"/>
          <w:sz w:val="32"/>
          <w:szCs w:val="32"/>
        </w:rPr>
      </w:pPr>
      <w:r>
        <w:rPr>
          <w:rFonts w:hint="eastAsia" w:ascii="仿宋_GB2312" w:eastAsia="仿宋_GB2312"/>
          <w:sz w:val="32"/>
          <w:szCs w:val="32"/>
        </w:rPr>
        <w:t>（三）其他收入：指除上述“财政拨款收入”、“事业收入”、“经营收入”等以外的收入。</w:t>
      </w:r>
    </w:p>
    <w:p>
      <w:pPr>
        <w:ind w:firstLine="640"/>
        <w:rPr>
          <w:rFonts w:ascii="仿宋_GB2312" w:eastAsia="仿宋_GB2312"/>
          <w:sz w:val="32"/>
          <w:szCs w:val="32"/>
        </w:rPr>
      </w:pPr>
      <w:r>
        <w:rPr>
          <w:rFonts w:hint="eastAsia" w:ascii="仿宋_GB2312" w:eastAsia="仿宋_GB2312"/>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ind w:firstLine="640"/>
        <w:rPr>
          <w:rFonts w:ascii="仿宋_GB2312" w:eastAsia="仿宋_GB2312"/>
          <w:sz w:val="32"/>
          <w:szCs w:val="32"/>
        </w:rPr>
      </w:pPr>
      <w:r>
        <w:rPr>
          <w:rFonts w:hint="eastAsia" w:ascii="仿宋_GB2312" w:eastAsia="仿宋_GB2312"/>
          <w:sz w:val="32"/>
          <w:szCs w:val="32"/>
        </w:rPr>
        <w:t>（五）年初结转和结余：指以前年度尚未完成、结转到本年仍按原规定用途继续使用的资金，或项目已完成等产生的结余资金。</w:t>
      </w:r>
    </w:p>
    <w:p>
      <w:pPr>
        <w:ind w:firstLine="640"/>
        <w:rPr>
          <w:rFonts w:ascii="仿宋_GB2312" w:eastAsia="仿宋_GB2312"/>
          <w:sz w:val="32"/>
          <w:szCs w:val="32"/>
        </w:rPr>
      </w:pPr>
      <w:r>
        <w:rPr>
          <w:rFonts w:hint="eastAsia" w:ascii="仿宋_GB2312" w:eastAsia="仿宋_GB2312"/>
          <w:sz w:val="32"/>
          <w:szCs w:val="32"/>
        </w:rPr>
        <w:t>（六）结余分配：指事业单位按照事业单位会计制度的规定从非财政补助结余中分配的事业基金和职工福利基金等。</w:t>
      </w:r>
    </w:p>
    <w:p>
      <w:pPr>
        <w:ind w:firstLine="640"/>
        <w:rPr>
          <w:rFonts w:ascii="仿宋_GB2312" w:eastAsia="仿宋_GB2312"/>
          <w:sz w:val="32"/>
          <w:szCs w:val="32"/>
        </w:rPr>
      </w:pPr>
      <w:r>
        <w:rPr>
          <w:rFonts w:hint="eastAsia" w:ascii="仿宋_GB2312" w:eastAsia="仿宋_GB2312"/>
          <w:sz w:val="32"/>
          <w:szCs w:val="32"/>
        </w:rPr>
        <w:t>（七）年末结转和结余：指单位按有关规定结转到下年或以后年度继续使用的资金，或项目已完成等产生的结余资金。</w:t>
      </w:r>
    </w:p>
    <w:p>
      <w:pPr>
        <w:ind w:firstLine="640"/>
        <w:rPr>
          <w:rFonts w:ascii="仿宋_GB2312" w:eastAsia="仿宋_GB2312"/>
          <w:sz w:val="32"/>
          <w:szCs w:val="32"/>
        </w:rPr>
      </w:pPr>
      <w:r>
        <w:rPr>
          <w:rFonts w:hint="eastAsia" w:ascii="仿宋_GB2312" w:eastAsia="仿宋_GB2312"/>
          <w:sz w:val="32"/>
          <w:szCs w:val="32"/>
        </w:rPr>
        <w:t>（八）基本支出：填列单位为保障机构正常运转、完成日常工作任务而发生的各项支出。</w:t>
      </w:r>
    </w:p>
    <w:p>
      <w:pPr>
        <w:ind w:firstLine="640"/>
        <w:rPr>
          <w:rFonts w:ascii="仿宋_GB2312" w:eastAsia="仿宋_GB2312"/>
          <w:sz w:val="32"/>
          <w:szCs w:val="32"/>
        </w:rPr>
      </w:pPr>
      <w:r>
        <w:rPr>
          <w:rFonts w:hint="eastAsia" w:ascii="仿宋_GB2312" w:eastAsia="仿宋_GB2312"/>
          <w:sz w:val="32"/>
          <w:szCs w:val="32"/>
        </w:rPr>
        <w:t>（九）项目支出：填列单位为完成特定的行政工作任务或事业发展目标，在基本支出之外发生的各项支出</w:t>
      </w:r>
    </w:p>
    <w:p>
      <w:pPr>
        <w:ind w:firstLine="640"/>
        <w:rPr>
          <w:rFonts w:ascii="仿宋_GB2312" w:eastAsia="仿宋_GB2312"/>
          <w:sz w:val="32"/>
          <w:szCs w:val="32"/>
        </w:rPr>
      </w:pPr>
      <w:r>
        <w:rPr>
          <w:rFonts w:hint="eastAsia" w:ascii="仿宋_GB2312" w:eastAsia="仿宋_GB2312"/>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ind w:firstLine="640"/>
        <w:rPr>
          <w:rFonts w:ascii="仿宋_GB2312" w:eastAsia="仿宋_GB2312"/>
          <w:sz w:val="32"/>
          <w:szCs w:val="32"/>
        </w:rPr>
      </w:pPr>
      <w:r>
        <w:rPr>
          <w:rFonts w:hint="eastAsia" w:ascii="仿宋_GB2312" w:eastAsia="仿宋_GB2312"/>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ind w:firstLine="640"/>
        <w:rPr>
          <w:rFonts w:ascii="仿宋_GB2312" w:eastAsia="仿宋_GB2312"/>
          <w:sz w:val="32"/>
          <w:szCs w:val="32"/>
        </w:rPr>
      </w:pPr>
      <w:r>
        <w:rPr>
          <w:rFonts w:hint="eastAsia" w:ascii="仿宋_GB2312" w:eastAsia="仿宋_GB2312"/>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ind w:firstLine="640"/>
        <w:rPr>
          <w:rFonts w:ascii="仿宋_GB2312" w:eastAsia="仿宋_GB2312"/>
          <w:sz w:val="32"/>
          <w:szCs w:val="32"/>
        </w:rPr>
      </w:pPr>
      <w:r>
        <w:rPr>
          <w:rFonts w:hint="eastAsia" w:eastAsia="仿宋_GB2312"/>
          <w:sz w:val="32"/>
          <w:szCs w:val="32"/>
        </w:rPr>
        <w:t>  </w:t>
      </w:r>
      <w:r>
        <w:rPr>
          <w:rFonts w:hint="eastAsia" w:ascii="仿宋_GB2312" w:eastAsia="仿宋_GB2312"/>
          <w:sz w:val="32"/>
          <w:szCs w:val="32"/>
        </w:rPr>
        <w:t>（十三）其他交通费用：填列单位除公务用车运行维护费以外的其他交通费用。如飞机、船舶等的燃料费、维修费、过桥过路费、保险费、出租车费用、公务交通补贴等。</w:t>
      </w:r>
    </w:p>
    <w:p>
      <w:pPr>
        <w:ind w:firstLine="640"/>
        <w:rPr>
          <w:rFonts w:ascii="仿宋_GB2312" w:eastAsia="仿宋_GB2312"/>
          <w:sz w:val="32"/>
          <w:szCs w:val="32"/>
        </w:rPr>
      </w:pPr>
      <w:r>
        <w:rPr>
          <w:rFonts w:hint="eastAsia" w:ascii="仿宋_GB2312" w:eastAsia="仿宋_GB2312"/>
          <w:sz w:val="32"/>
          <w:szCs w:val="32"/>
        </w:rPr>
        <w:t>（十四）公务用车购置：填列单位公务用车车辆购置支出（含车辆购置税）。</w:t>
      </w:r>
    </w:p>
    <w:p>
      <w:pPr>
        <w:ind w:firstLine="640"/>
        <w:rPr>
          <w:rFonts w:ascii="仿宋_GB2312" w:eastAsia="仿宋_GB2312"/>
          <w:sz w:val="32"/>
          <w:szCs w:val="32"/>
        </w:rPr>
      </w:pPr>
      <w:r>
        <w:rPr>
          <w:rFonts w:hint="eastAsia" w:ascii="仿宋_GB2312" w:eastAsia="仿宋_GB2312"/>
          <w:sz w:val="32"/>
          <w:szCs w:val="32"/>
        </w:rPr>
        <w:t>（十五）其他交通工具购置：填列单位除公务用车外的其他各类交通工具（如船舶、飞机）购置支出（含车辆购置税）。</w:t>
      </w:r>
    </w:p>
    <w:p>
      <w:pPr>
        <w:widowControl/>
        <w:shd w:val="clear" w:color="auto" w:fill="FFFFFF"/>
        <w:spacing w:line="315" w:lineRule="atLeast"/>
        <w:ind w:firstLine="480"/>
        <w:jc w:val="left"/>
        <w:rPr>
          <w:rFonts w:ascii="仿宋_GB2312" w:eastAsia="仿宋_GB2312"/>
          <w:sz w:val="32"/>
          <w:szCs w:val="32"/>
        </w:rPr>
      </w:pPr>
      <w:r>
        <w:rPr>
          <w:rFonts w:hint="eastAsia" w:ascii="仿宋_GB2312" w:eastAsia="仿宋_GB2312"/>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rPr>
          <w:rFonts w:ascii="仿宋_GB2312" w:eastAsia="仿宋_GB2312"/>
          <w:sz w:val="32"/>
          <w:szCs w:val="32"/>
        </w:rPr>
      </w:pPr>
    </w:p>
    <w:p/>
    <w:sectPr>
      <w:head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楷体_GB2312">
    <w:panose1 w:val="02010609030101010101"/>
    <w:charset w:val="86"/>
    <w:family w:val="auto"/>
    <w:pitch w:val="default"/>
    <w:sig w:usb0="00000001" w:usb1="080E0000" w:usb2="0000000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Malgun Gothic">
    <w:panose1 w:val="020B0503020000020004"/>
    <w:charset w:val="81"/>
    <w:family w:val="auto"/>
    <w:pitch w:val="default"/>
    <w:sig w:usb0="9000002F" w:usb1="29D77CFB" w:usb2="00000012" w:usb3="00000000" w:csb0="00080001"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3848885"/>
    <w:multiLevelType w:val="singleLevel"/>
    <w:tmpl w:val="13848885"/>
    <w:lvl w:ilvl="0" w:tentative="0">
      <w:start w:val="2"/>
      <w:numFmt w:val="chineseCounting"/>
      <w:suff w:val="nothing"/>
      <w:lvlText w:val="%1、"/>
      <w:lvlJc w:val="left"/>
      <w:rPr>
        <w:rFonts w:hint="eastAsia"/>
      </w:rPr>
    </w:lvl>
  </w:abstractNum>
  <w:abstractNum w:abstractNumId="1">
    <w:nsid w:val="59F92CD8"/>
    <w:multiLevelType w:val="singleLevel"/>
    <w:tmpl w:val="59F92CD8"/>
    <w:lvl w:ilvl="0" w:tentative="0">
      <w:start w:val="2"/>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67629E1"/>
    <w:rsid w:val="000354F1"/>
    <w:rsid w:val="003F1584"/>
    <w:rsid w:val="007401DE"/>
    <w:rsid w:val="00D00E32"/>
    <w:rsid w:val="03300CF5"/>
    <w:rsid w:val="0E8004E8"/>
    <w:rsid w:val="18790252"/>
    <w:rsid w:val="1D337898"/>
    <w:rsid w:val="21DD6A8D"/>
    <w:rsid w:val="22084A24"/>
    <w:rsid w:val="24FF2A2D"/>
    <w:rsid w:val="267629E1"/>
    <w:rsid w:val="26F4516D"/>
    <w:rsid w:val="320D18F6"/>
    <w:rsid w:val="3B441C1F"/>
    <w:rsid w:val="3BE8664B"/>
    <w:rsid w:val="3E2867C0"/>
    <w:rsid w:val="3F073559"/>
    <w:rsid w:val="3F3116D7"/>
    <w:rsid w:val="42996236"/>
    <w:rsid w:val="45D964C4"/>
    <w:rsid w:val="504571D0"/>
    <w:rsid w:val="622F7F87"/>
    <w:rsid w:val="624714F0"/>
    <w:rsid w:val="6CFA24B2"/>
    <w:rsid w:val="6E103BED"/>
    <w:rsid w:val="77924F2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1"/>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7">
    <w:name w:val="页脚 Char"/>
    <w:basedOn w:val="6"/>
    <w:link w:val="2"/>
    <w:qFormat/>
    <w:uiPriority w:val="0"/>
    <w:rPr>
      <w:kern w:val="2"/>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hart" Target="charts/chart2.xml"/><Relationship Id="rId5" Type="http://schemas.openxmlformats.org/officeDocument/2006/relationships/chart" Target="charts/chart1.xml"/><Relationship Id="rId4" Type="http://schemas.openxmlformats.org/officeDocument/2006/relationships/theme" Target="theme/theme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Workbook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销售额</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ctr"/>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财政拨款收入</c:v>
                </c:pt>
                <c:pt idx="1">
                  <c:v>其他收入</c:v>
                </c:pt>
              </c:strCache>
            </c:strRef>
          </c:cat>
          <c:val>
            <c:numRef>
              <c:f>Sheet1!$B$2:$B$3</c:f>
              <c:numCache>
                <c:formatCode>General</c:formatCode>
                <c:ptCount val="2"/>
                <c:pt idx="0">
                  <c:v>99.13</c:v>
                </c:pt>
                <c:pt idx="1">
                  <c:v>0.87</c:v>
                </c:pt>
              </c:numCache>
            </c:numRef>
          </c:val>
        </c:ser>
        <c:dLbls>
          <c:showLegendKey val="0"/>
          <c:showVal val="0"/>
          <c:showCatName val="0"/>
          <c:showSerName val="0"/>
          <c:showPercent val="1"/>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列1</c:v>
                </c:pt>
              </c:strCache>
            </c:strRef>
          </c:tx>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dLbl>
              <c:idx val="0"/>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621.71</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r>
                      <a:rPr lang="en-US" altLang="zh-CN"/>
                      <a:t>1198.9</a:t>
                    </a:r>
                    <a:endParaRPr lang="en-US" altLang="zh-CN"/>
                  </a:p>
                </c:rich>
              </c:tx>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prstDash val="solid"/>
                      <a:round/>
                    </a:ln>
                    <a:effectLst/>
                  </c:spPr>
                </c15:leaderLines>
              </c:ext>
            </c:extLst>
          </c:dLbls>
          <c:cat>
            <c:strRef>
              <c:f>Sheet1!$A$2:$A$3</c:f>
              <c:strCache>
                <c:ptCount val="2"/>
                <c:pt idx="0">
                  <c:v>基本支出</c:v>
                </c:pt>
                <c:pt idx="1">
                  <c:v>项目支出</c:v>
                </c:pt>
              </c:strCache>
            </c:strRef>
          </c:cat>
          <c:val>
            <c:numRef>
              <c:f>Sheet1!$B$2:$B$3</c:f>
              <c:numCache>
                <c:formatCode>General</c:formatCode>
                <c:ptCount val="2"/>
                <c:pt idx="0">
                  <c:v>34.15</c:v>
                </c:pt>
                <c:pt idx="1">
                  <c:v>65.85</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zero"/>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10</Pages>
  <Words>503</Words>
  <Characters>2873</Characters>
  <Lines>23</Lines>
  <Paragraphs>6</Paragraphs>
  <TotalTime>4</TotalTime>
  <ScaleCrop>false</ScaleCrop>
  <LinksUpToDate>false</LinksUpToDate>
  <CharactersWithSpaces>3370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2018-12-15T02:32:00Z</dcterms:created>
  <dc:creator>Administrator</dc:creator>
  <cp:lastModifiedBy>SZH</cp:lastModifiedBy>
  <dcterms:modified xsi:type="dcterms:W3CDTF">2025-01-02T03:43:16Z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592B25AF8A134633815EA67212D142DB</vt:lpwstr>
  </property>
</Properties>
</file>