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695AB4">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val="en-US" w:eastAsia="zh-CN"/>
        </w:rPr>
        <w:t xml:space="preserve">                                                  </w:t>
      </w:r>
      <w:r>
        <w:rPr>
          <w:rFonts w:hint="eastAsia" w:ascii="方正小标宋_GBK" w:hAnsi="Times New Roman" w:eastAsia="方正小标宋_GBK" w:cs="Times New Roman"/>
          <w:bCs/>
          <w:sz w:val="44"/>
          <w:szCs w:val="44"/>
        </w:rPr>
        <w:t>石家庄市鹿泉区人民法院</w:t>
      </w:r>
    </w:p>
    <w:p w14:paraId="009EDA09">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323954DF">
      <w:pPr>
        <w:ind w:firstLine="640"/>
        <w:rPr>
          <w:rFonts w:ascii="Times New Roman" w:hAnsi="Times New Roman" w:eastAsia="仿宋" w:cs="Times New Roman"/>
          <w:sz w:val="32"/>
          <w:szCs w:val="32"/>
        </w:rPr>
      </w:pPr>
    </w:p>
    <w:p w14:paraId="1232A0FC">
      <w:pPr>
        <w:adjustRightInd w:val="0"/>
        <w:snapToGri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bookmarkStart w:id="9" w:name="_GoBack"/>
      <w:bookmarkEnd w:id="9"/>
      <w:r>
        <w:rPr>
          <w:rFonts w:hint="eastAsia" w:ascii="Times New Roman" w:hAnsi="Times New Roman" w:eastAsia="仿宋" w:cs="Times New Roman"/>
          <w:sz w:val="32"/>
          <w:szCs w:val="32"/>
        </w:rPr>
        <w:t>预算法》、《地方预决算公开操作规程》和《河北省省级预算公开办法》规定，现将</w:t>
      </w:r>
      <w:r>
        <w:rPr>
          <w:rFonts w:hint="eastAsia" w:ascii="仿宋" w:hAnsi="仿宋" w:eastAsia="仿宋" w:cs="Times New Roman"/>
          <w:bCs/>
          <w:sz w:val="32"/>
          <w:szCs w:val="32"/>
        </w:rPr>
        <w:t>石家庄市鹿泉区人民法院</w:t>
      </w:r>
      <w:r>
        <w:rPr>
          <w:rFonts w:hint="eastAsia" w:ascii="Times New Roman" w:hAnsi="Times New Roman" w:eastAsia="仿宋" w:cs="Times New Roman"/>
          <w:sz w:val="32"/>
          <w:szCs w:val="32"/>
        </w:rPr>
        <w:t>2020年部门预算公开如下：</w:t>
      </w:r>
    </w:p>
    <w:p w14:paraId="170063FE">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5ECFECB2">
      <w:pPr>
        <w:spacing w:line="500" w:lineRule="exact"/>
        <w:ind w:firstLine="643" w:firstLineChars="200"/>
        <w:rPr>
          <w:rFonts w:hint="default" w:ascii="仿宋" w:hAnsi="仿宋" w:eastAsia="仿宋" w:cs="Times New Roman"/>
          <w:b/>
          <w:sz w:val="32"/>
          <w:szCs w:val="32"/>
          <w:lang w:val="en-US" w:eastAsia="zh-CN"/>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b/>
          <w:sz w:val="32"/>
          <w:szCs w:val="32"/>
          <w:lang w:val="en-US" w:eastAsia="zh-CN"/>
        </w:rPr>
        <w:t xml:space="preserve">                                                  </w:t>
      </w:r>
    </w:p>
    <w:p w14:paraId="1513AF55">
      <w:pPr>
        <w:spacing w:line="500" w:lineRule="exact"/>
        <w:ind w:firstLine="560" w:firstLineChars="200"/>
        <w:rPr>
          <w:sz w:val="28"/>
          <w:szCs w:val="28"/>
        </w:rPr>
      </w:pPr>
      <w:r>
        <w:rPr>
          <w:rFonts w:hint="eastAsia"/>
          <w:sz w:val="28"/>
          <w:szCs w:val="28"/>
        </w:rPr>
        <w:t>(一)依法审判法律规定由本级人民法院管辖的第一审刑事、民事、行政案件。</w:t>
      </w:r>
    </w:p>
    <w:p w14:paraId="694FEF72">
      <w:pPr>
        <w:spacing w:line="500" w:lineRule="exact"/>
        <w:ind w:firstLine="560" w:firstLineChars="200"/>
        <w:rPr>
          <w:sz w:val="28"/>
          <w:szCs w:val="28"/>
        </w:rPr>
      </w:pPr>
      <w:r>
        <w:rPr>
          <w:rFonts w:hint="eastAsia"/>
          <w:sz w:val="28"/>
          <w:szCs w:val="28"/>
        </w:rPr>
        <w:t>(二)受理不服本院已经发生法律效力的判决、裁定的申诉和申请再审案件以及本院审判委员 会讨论决定的再审案件。</w:t>
      </w:r>
    </w:p>
    <w:p w14:paraId="7CAA547E">
      <w:pPr>
        <w:spacing w:line="500" w:lineRule="exact"/>
        <w:ind w:firstLine="560" w:firstLineChars="200"/>
        <w:rPr>
          <w:sz w:val="28"/>
          <w:szCs w:val="28"/>
        </w:rPr>
      </w:pPr>
      <w:r>
        <w:rPr>
          <w:rFonts w:hint="eastAsia"/>
          <w:sz w:val="28"/>
          <w:szCs w:val="28"/>
        </w:rPr>
        <w:t>(三)接受上级法院指令再审和交办的案件。</w:t>
      </w:r>
    </w:p>
    <w:p w14:paraId="33DEFF35">
      <w:pPr>
        <w:spacing w:line="500" w:lineRule="exact"/>
        <w:ind w:firstLine="560" w:firstLineChars="200"/>
        <w:rPr>
          <w:sz w:val="28"/>
          <w:szCs w:val="28"/>
        </w:rPr>
      </w:pPr>
      <w:r>
        <w:rPr>
          <w:rFonts w:hint="eastAsia"/>
          <w:sz w:val="28"/>
          <w:szCs w:val="28"/>
        </w:rPr>
        <w:t>(四)依法行使司法执行权和司法决定权。</w:t>
      </w:r>
    </w:p>
    <w:p w14:paraId="2B80658A">
      <w:pPr>
        <w:spacing w:line="500" w:lineRule="exact"/>
        <w:ind w:firstLine="560" w:firstLineChars="200"/>
        <w:rPr>
          <w:sz w:val="28"/>
          <w:szCs w:val="28"/>
        </w:rPr>
      </w:pPr>
      <w:r>
        <w:rPr>
          <w:rFonts w:hint="eastAsia"/>
          <w:sz w:val="28"/>
          <w:szCs w:val="28"/>
        </w:rPr>
        <w:t>(五)对案件审理中发现的问题提出司法建议。</w:t>
      </w:r>
    </w:p>
    <w:p w14:paraId="66E4D7DB">
      <w:pPr>
        <w:spacing w:line="500" w:lineRule="exact"/>
        <w:ind w:firstLine="560" w:firstLineChars="200"/>
        <w:rPr>
          <w:sz w:val="28"/>
          <w:szCs w:val="28"/>
        </w:rPr>
      </w:pPr>
      <w:r>
        <w:rPr>
          <w:rFonts w:hint="eastAsia"/>
          <w:sz w:val="28"/>
          <w:szCs w:val="28"/>
        </w:rPr>
        <w:t>(六)组织本院法官与其他法院间的司法交流活动。</w:t>
      </w:r>
    </w:p>
    <w:p w14:paraId="5A92435C">
      <w:pPr>
        <w:spacing w:line="500" w:lineRule="exact"/>
        <w:ind w:firstLine="560" w:firstLineChars="200"/>
        <w:rPr>
          <w:sz w:val="28"/>
          <w:szCs w:val="28"/>
        </w:rPr>
      </w:pPr>
      <w:r>
        <w:rPr>
          <w:rFonts w:hint="eastAsia"/>
          <w:sz w:val="28"/>
          <w:szCs w:val="28"/>
        </w:rPr>
        <w:t>(七)抓好本院的思想政治、教育培训工作;按照权限管理本院法官和其他工作人员。</w:t>
      </w:r>
    </w:p>
    <w:p w14:paraId="153D163B">
      <w:pPr>
        <w:spacing w:line="500" w:lineRule="exact"/>
        <w:ind w:firstLine="560" w:firstLineChars="200"/>
        <w:rPr>
          <w:sz w:val="28"/>
          <w:szCs w:val="28"/>
        </w:rPr>
      </w:pPr>
      <w:r>
        <w:rPr>
          <w:rFonts w:hint="eastAsia"/>
          <w:sz w:val="28"/>
          <w:szCs w:val="28"/>
        </w:rPr>
        <w:t>(八)管理本院的经费、物质装备。</w:t>
      </w:r>
    </w:p>
    <w:p w14:paraId="53392007">
      <w:pPr>
        <w:spacing w:line="500" w:lineRule="exact"/>
        <w:ind w:firstLine="560" w:firstLineChars="200"/>
        <w:rPr>
          <w:sz w:val="28"/>
          <w:szCs w:val="28"/>
        </w:rPr>
      </w:pPr>
      <w:r>
        <w:rPr>
          <w:rFonts w:hint="eastAsia"/>
          <w:sz w:val="28"/>
          <w:szCs w:val="28"/>
        </w:rPr>
        <w:t>(九)结合审判业务，开展法制宣传，教育公民自觉遵守宪法、法律。</w:t>
      </w:r>
    </w:p>
    <w:p w14:paraId="7F8B24A8">
      <w:pPr>
        <w:spacing w:line="500" w:lineRule="exact"/>
        <w:ind w:firstLine="560" w:firstLineChars="200"/>
        <w:rPr>
          <w:sz w:val="28"/>
          <w:szCs w:val="28"/>
        </w:rPr>
      </w:pPr>
      <w:r>
        <w:rPr>
          <w:rFonts w:hint="eastAsia"/>
          <w:sz w:val="28"/>
          <w:szCs w:val="28"/>
        </w:rPr>
        <w:t>(十)对人民调解组织和镇、街道司法助理员进行业务指导。</w:t>
      </w:r>
    </w:p>
    <w:p w14:paraId="3C071E51">
      <w:pPr>
        <w:spacing w:line="500" w:lineRule="exact"/>
        <w:ind w:firstLine="560" w:firstLineChars="200"/>
        <w:rPr>
          <w:sz w:val="28"/>
          <w:szCs w:val="28"/>
        </w:rPr>
      </w:pPr>
      <w:r>
        <w:rPr>
          <w:rFonts w:hint="eastAsia"/>
          <w:sz w:val="28"/>
          <w:szCs w:val="28"/>
        </w:rPr>
        <w:t>(十一)承办其他应由本院负责的工作。</w:t>
      </w:r>
    </w:p>
    <w:p w14:paraId="503B236B">
      <w:pPr>
        <w:ind w:firstLine="640"/>
        <w:rPr>
          <w:rFonts w:ascii="仿宋" w:hAnsi="仿宋" w:eastAsia="仿宋" w:cs="Times New Roman"/>
          <w:b/>
          <w:sz w:val="32"/>
          <w:szCs w:val="32"/>
        </w:rPr>
      </w:pPr>
      <w:r>
        <w:rPr>
          <w:rFonts w:hint="eastAsia" w:ascii="仿宋" w:hAnsi="仿宋" w:eastAsia="仿宋" w:cs="Times New Roman"/>
          <w:b/>
          <w:sz w:val="32"/>
          <w:szCs w:val="32"/>
        </w:rPr>
        <w:t>机构设置：</w:t>
      </w:r>
    </w:p>
    <w:p w14:paraId="27027782">
      <w:pPr>
        <w:jc w:val="center"/>
        <w:outlineLvl w:val="0"/>
        <w:rPr>
          <w:rFonts w:ascii="Times New Roman" w:hAnsi="Times New Roman" w:eastAsia="方正小标宋_GBK" w:cs="Times New Roman"/>
          <w:sz w:val="32"/>
          <w:szCs w:val="24"/>
        </w:rPr>
      </w:pPr>
    </w:p>
    <w:p w14:paraId="3DBC58F8">
      <w:pPr>
        <w:jc w:val="center"/>
        <w:outlineLvl w:val="0"/>
        <w:rPr>
          <w:rFonts w:ascii="Times New Roman" w:hAnsi="Times New Roman" w:eastAsia="方正小标宋_GBK" w:cs="Times New Roman"/>
          <w:sz w:val="32"/>
          <w:szCs w:val="24"/>
        </w:rPr>
      </w:pPr>
    </w:p>
    <w:p w14:paraId="4AB9F35D">
      <w:pPr>
        <w:jc w:val="center"/>
        <w:outlineLvl w:val="0"/>
        <w:rPr>
          <w:rFonts w:hint="eastAsia" w:ascii="Times New Roman" w:hAnsi="Times New Roman" w:eastAsia="方正小标宋_GBK" w:cs="Times New Roman"/>
          <w:sz w:val="32"/>
          <w:szCs w:val="24"/>
        </w:rPr>
      </w:pPr>
    </w:p>
    <w:p w14:paraId="64ACC44D">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15D4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606AC340">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006A615C">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44C9B451">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746B6296">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3413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679AE016">
            <w:pPr>
              <w:spacing w:line="300" w:lineRule="exact"/>
              <w:jc w:val="left"/>
              <w:outlineLvl w:val="0"/>
              <w:rPr>
                <w:rFonts w:ascii="Times New Roman" w:hAnsi="Times New Roman" w:cs="Times New Roman"/>
                <w:szCs w:val="24"/>
              </w:rPr>
            </w:pPr>
          </w:p>
        </w:tc>
        <w:tc>
          <w:tcPr>
            <w:tcW w:w="1134" w:type="dxa"/>
            <w:vMerge w:val="continue"/>
            <w:vAlign w:val="center"/>
          </w:tcPr>
          <w:p w14:paraId="31C2A836">
            <w:pPr>
              <w:spacing w:line="300" w:lineRule="exact"/>
              <w:jc w:val="left"/>
              <w:outlineLvl w:val="0"/>
              <w:rPr>
                <w:rFonts w:ascii="Times New Roman" w:hAnsi="Times New Roman" w:cs="Times New Roman"/>
                <w:szCs w:val="24"/>
              </w:rPr>
            </w:pPr>
          </w:p>
        </w:tc>
        <w:tc>
          <w:tcPr>
            <w:tcW w:w="1276" w:type="dxa"/>
            <w:vMerge w:val="continue"/>
            <w:vAlign w:val="center"/>
          </w:tcPr>
          <w:p w14:paraId="3042D508">
            <w:pPr>
              <w:spacing w:line="300" w:lineRule="exact"/>
              <w:jc w:val="left"/>
              <w:outlineLvl w:val="0"/>
              <w:rPr>
                <w:rFonts w:ascii="Times New Roman" w:hAnsi="Times New Roman" w:cs="Times New Roman"/>
                <w:szCs w:val="24"/>
              </w:rPr>
            </w:pPr>
          </w:p>
        </w:tc>
        <w:tc>
          <w:tcPr>
            <w:tcW w:w="2902" w:type="dxa"/>
            <w:vMerge w:val="continue"/>
            <w:vAlign w:val="center"/>
          </w:tcPr>
          <w:p w14:paraId="6E17A823">
            <w:pPr>
              <w:spacing w:line="300" w:lineRule="exact"/>
              <w:jc w:val="left"/>
              <w:outlineLvl w:val="0"/>
              <w:rPr>
                <w:rFonts w:ascii="Times New Roman" w:hAnsi="Times New Roman" w:cs="Times New Roman"/>
                <w:szCs w:val="24"/>
              </w:rPr>
            </w:pPr>
          </w:p>
        </w:tc>
      </w:tr>
      <w:tr w14:paraId="7075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315A40D6">
            <w:pPr>
              <w:spacing w:line="300" w:lineRule="exact"/>
              <w:jc w:val="left"/>
              <w:rPr>
                <w:rFonts w:ascii="Times New Roman" w:hAnsi="Times New Roman" w:eastAsia="方正书宋_GBK" w:cs="Times New Roman"/>
                <w:szCs w:val="24"/>
              </w:rPr>
            </w:pPr>
            <w:r>
              <w:rPr>
                <w:rFonts w:hint="eastAsia" w:ascii="方正书宋_GBK" w:eastAsia="方正书宋_GBK"/>
              </w:rPr>
              <w:t>石家庄市鹿泉区人民法院</w:t>
            </w:r>
          </w:p>
        </w:tc>
        <w:tc>
          <w:tcPr>
            <w:tcW w:w="1134" w:type="dxa"/>
            <w:vAlign w:val="center"/>
          </w:tcPr>
          <w:p w14:paraId="3638D60C">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3F529F3A">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副处级</w:t>
            </w:r>
          </w:p>
        </w:tc>
        <w:tc>
          <w:tcPr>
            <w:tcW w:w="2902" w:type="dxa"/>
            <w:vAlign w:val="center"/>
          </w:tcPr>
          <w:p w14:paraId="7489DF1B">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14:paraId="53DC6764"/>
    <w:p w14:paraId="49D35A46">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71F37F6B">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14:paraId="12B8243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1FA00A5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反映本部门当年全部收入。2020年预算收入2471.43万元，其中：一般公共预算收入2471.43万元，基金预算收入0万元，财政专户核拨收入0万元，其他来源收入0万元。</w:t>
      </w:r>
    </w:p>
    <w:p w14:paraId="70C4054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083C051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收支预算总表支出栏、基本支出表、项目支出表按经济分类和支出功能分类科目编制，反映石家庄市鹿泉区人民法院年度部门预算中支出预算的总体情况。2020年部门支出预算为2471.43万元，其中基本支出2</w:t>
      </w:r>
      <w:r>
        <w:rPr>
          <w:rFonts w:hint="eastAsia" w:ascii="Times New Roman" w:hAnsi="Times New Roman" w:eastAsia="仿宋" w:cs="Times New Roman"/>
          <w:sz w:val="32"/>
          <w:szCs w:val="32"/>
          <w:lang w:val="en-US" w:eastAsia="zh-CN"/>
        </w:rPr>
        <w:t>165</w:t>
      </w:r>
      <w:r>
        <w:rPr>
          <w:rFonts w:hint="eastAsia" w:ascii="Times New Roman" w:hAnsi="Times New Roman" w:eastAsia="仿宋" w:cs="Times New Roman"/>
          <w:sz w:val="32"/>
          <w:szCs w:val="32"/>
        </w:rPr>
        <w:t>.02万元，包括人员经费1557.92万元和日常公用经费607.10万元；项目支出306.41万元，主要为</w:t>
      </w:r>
      <w:r>
        <w:rPr>
          <w:rFonts w:hint="eastAsia" w:ascii="Times New Roman" w:hAnsi="Times New Roman" w:eastAsia="仿宋" w:cs="Times New Roman"/>
          <w:sz w:val="32"/>
          <w:szCs w:val="32"/>
          <w:lang w:eastAsia="zh-CN"/>
        </w:rPr>
        <w:t>法院业务经费</w:t>
      </w:r>
      <w:r>
        <w:rPr>
          <w:rFonts w:hint="eastAsia" w:ascii="Times New Roman" w:hAnsi="Times New Roman" w:eastAsia="仿宋" w:cs="Times New Roman"/>
          <w:sz w:val="32"/>
          <w:szCs w:val="32"/>
          <w:lang w:val="en-US" w:eastAsia="zh-CN"/>
        </w:rPr>
        <w:t>150万元，法院建设补助资金80万元，法院信息化网络安全建设70万元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2019年法院工程项目质保金6.41万元</w:t>
      </w:r>
      <w:r>
        <w:rPr>
          <w:rFonts w:hint="eastAsia" w:ascii="Times New Roman" w:hAnsi="Times New Roman" w:eastAsia="仿宋" w:cs="Times New Roman"/>
          <w:sz w:val="32"/>
          <w:szCs w:val="32"/>
        </w:rPr>
        <w:t>。</w:t>
      </w:r>
    </w:p>
    <w:p w14:paraId="102E990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5B878E34">
      <w:pPr>
        <w:ind w:firstLine="640"/>
        <w:rPr>
          <w:rFonts w:ascii="Times New Roman" w:hAnsi="Times New Roman" w:eastAsia="仿宋" w:cs="Times New Roman"/>
          <w:color w:val="FF0000"/>
          <w:sz w:val="32"/>
          <w:szCs w:val="32"/>
        </w:rPr>
      </w:pPr>
      <w:r>
        <w:rPr>
          <w:rFonts w:hint="eastAsia" w:ascii="Times New Roman" w:hAnsi="Times New Roman" w:eastAsia="仿宋" w:cs="Times New Roman"/>
          <w:color w:val="auto"/>
          <w:sz w:val="32"/>
          <w:szCs w:val="32"/>
        </w:rPr>
        <w:t>2020年部门预算收支安排2471.43万元，较2019年增加</w:t>
      </w:r>
      <w:r>
        <w:rPr>
          <w:rFonts w:hint="eastAsia" w:ascii="Times New Roman" w:hAnsi="Times New Roman" w:eastAsia="仿宋" w:cs="Times New Roman"/>
          <w:color w:val="auto"/>
          <w:sz w:val="32"/>
          <w:szCs w:val="32"/>
          <w:lang w:val="en-US" w:eastAsia="zh-CN"/>
        </w:rPr>
        <w:t>140.96</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eastAsia="zh-CN"/>
        </w:rPr>
        <w:t>其中，基本支出增加</w:t>
      </w:r>
      <w:r>
        <w:rPr>
          <w:rFonts w:hint="eastAsia" w:ascii="Times New Roman" w:hAnsi="Times New Roman" w:eastAsia="仿宋" w:cs="Times New Roman"/>
          <w:color w:val="auto"/>
          <w:sz w:val="32"/>
          <w:szCs w:val="32"/>
          <w:lang w:val="en-US" w:eastAsia="zh-CN"/>
        </w:rPr>
        <w:t>444.99万元，</w:t>
      </w:r>
      <w:r>
        <w:rPr>
          <w:rFonts w:hint="eastAsia" w:ascii="Times New Roman" w:hAnsi="Times New Roman" w:eastAsia="仿宋" w:cs="Times New Roman"/>
          <w:sz w:val="32"/>
          <w:szCs w:val="32"/>
        </w:rPr>
        <w:t>主要</w:t>
      </w:r>
      <w:r>
        <w:rPr>
          <w:rFonts w:hint="eastAsia" w:ascii="Times New Roman" w:hAnsi="Times New Roman" w:eastAsia="仿宋" w:cs="Times New Roman"/>
          <w:sz w:val="32"/>
          <w:szCs w:val="32"/>
          <w:lang w:eastAsia="zh-CN"/>
        </w:rPr>
        <w:t>是人员增加，相应增加</w:t>
      </w:r>
      <w:r>
        <w:rPr>
          <w:rFonts w:hint="eastAsia" w:ascii="Times New Roman" w:hAnsi="Times New Roman" w:eastAsia="仿宋" w:cs="Times New Roman"/>
          <w:sz w:val="32"/>
          <w:szCs w:val="32"/>
        </w:rPr>
        <w:t>人员经费和日常公用经费</w:t>
      </w:r>
      <w:r>
        <w:rPr>
          <w:rFonts w:hint="eastAsia" w:ascii="Times New Roman" w:hAnsi="Times New Roman" w:eastAsia="仿宋" w:cs="Times New Roman"/>
          <w:sz w:val="32"/>
          <w:szCs w:val="32"/>
          <w:lang w:eastAsia="zh-CN"/>
        </w:rPr>
        <w:t>；项目支出减少</w:t>
      </w:r>
      <w:r>
        <w:rPr>
          <w:rFonts w:hint="eastAsia" w:ascii="Times New Roman" w:hAnsi="Times New Roman" w:eastAsia="仿宋" w:cs="Times New Roman"/>
          <w:sz w:val="32"/>
          <w:szCs w:val="32"/>
          <w:lang w:val="en-US" w:eastAsia="zh-CN"/>
        </w:rPr>
        <w:t>304.03元，主要是项目减少。</w:t>
      </w:r>
      <w:r>
        <w:rPr>
          <w:rFonts w:hint="eastAsia" w:ascii="Times New Roman" w:hAnsi="Times New Roman" w:eastAsia="仿宋" w:cs="Times New Roman"/>
          <w:color w:val="auto"/>
          <w:sz w:val="32"/>
          <w:szCs w:val="32"/>
        </w:rPr>
        <w:t>其他支出无增减变化。</w:t>
      </w:r>
    </w:p>
    <w:p w14:paraId="73A2859A">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0C55F756">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607.10万元，主要用于保证机关正常运转的办公及印刷费、邮电费、差旅费、会议费、福利费、专用材料及一般设备购置费、办公用房水电费、办公用房取暖费、日常维修费、办公楼物业管理费、公务车运行维护费等支出。</w:t>
      </w:r>
    </w:p>
    <w:p w14:paraId="0681F47B">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746E2B8F">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37.8</w:t>
      </w:r>
      <w:r>
        <w:rPr>
          <w:rFonts w:hint="eastAsia" w:ascii="Times New Roman" w:hAnsi="Times New Roman" w:eastAsia="仿宋" w:cs="Times New Roman"/>
          <w:sz w:val="32"/>
          <w:szCs w:val="32"/>
        </w:rPr>
        <w:t>万元，其中：因公出国（境）费0万元；公务用车购置及运维费</w:t>
      </w:r>
      <w:r>
        <w:rPr>
          <w:rFonts w:hint="eastAsia" w:ascii="Times New Roman" w:hAnsi="Times New Roman" w:eastAsia="仿宋" w:cs="Times New Roman"/>
          <w:sz w:val="32"/>
          <w:szCs w:val="32"/>
          <w:lang w:val="en-US" w:eastAsia="zh-CN"/>
        </w:rPr>
        <w:t>37.8</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37.8</w:t>
      </w:r>
      <w:r>
        <w:rPr>
          <w:rFonts w:hint="eastAsia" w:ascii="Times New Roman" w:hAnsi="Times New Roman" w:eastAsia="仿宋" w:cs="Times New Roman"/>
          <w:sz w:val="32"/>
          <w:szCs w:val="32"/>
        </w:rPr>
        <w:t>万元)；公务接待费0万元。“三公”经费与上年持平，无增减变化。</w:t>
      </w:r>
    </w:p>
    <w:p w14:paraId="42E78B6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0BB1643B">
      <w:pPr>
        <w:ind w:firstLine="643" w:firstLineChars="200"/>
        <w:jc w:val="center"/>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65A2E357">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6A68E87">
      <w:pPr>
        <w:spacing w:line="500" w:lineRule="exact"/>
        <w:ind w:firstLine="560" w:firstLineChars="200"/>
        <w:rPr>
          <w:sz w:val="28"/>
          <w:szCs w:val="28"/>
        </w:rPr>
      </w:pPr>
      <w:r>
        <w:rPr>
          <w:rFonts w:hint="eastAsia"/>
          <w:sz w:val="28"/>
          <w:szCs w:val="28"/>
        </w:rPr>
        <w:t>1、主要职责： (一)依法审判法律规定由本级人民法院管辖的第一审刑事、民事、行政案件。(二)受理不服本院已经发生法律效力的判决、裁定的申诉和申请再审案件以及本院审判委员 会讨论决定的再审案件。(三)接受上级法院指令再审和交办的案件。(四)依法行使司法执行权和司法决定权。(五)对案件审理中发现的问题提出司法建议。(六)组织本院法官与其他法院间的司法交流活动。(七)抓好本院的思想政治、教育培训工作;按照权限管理本院法官和其他工作人员。(八)管理本院的经费、物质装备。(九)结合审判业务，开展法制宣传，教育公民自觉遵守宪法、法律。(十)对人民调解组织和镇、街道司法助理员进行业务指导。(十一)承办其他应由本院负责的工作。</w:t>
      </w:r>
    </w:p>
    <w:p w14:paraId="276F09C4">
      <w:pPr>
        <w:spacing w:line="500" w:lineRule="exact"/>
        <w:ind w:firstLine="280" w:firstLineChars="100"/>
        <w:rPr>
          <w:sz w:val="28"/>
          <w:szCs w:val="28"/>
        </w:rPr>
      </w:pPr>
      <w:r>
        <w:rPr>
          <w:rFonts w:hint="eastAsia"/>
          <w:sz w:val="28"/>
          <w:szCs w:val="28"/>
        </w:rPr>
        <w:t>2、机构情况：</w:t>
      </w:r>
    </w:p>
    <w:p w14:paraId="5F1A4595">
      <w:pPr>
        <w:spacing w:line="500" w:lineRule="exact"/>
        <w:ind w:firstLine="420" w:firstLineChars="150"/>
        <w:rPr>
          <w:sz w:val="28"/>
          <w:szCs w:val="28"/>
        </w:rPr>
      </w:pPr>
      <w:r>
        <w:rPr>
          <w:rFonts w:hint="eastAsia"/>
          <w:sz w:val="28"/>
          <w:szCs w:val="28"/>
        </w:rPr>
        <w:t>（1）办公室</w:t>
      </w:r>
    </w:p>
    <w:p w14:paraId="28335F19">
      <w:pPr>
        <w:spacing w:line="500" w:lineRule="exact"/>
        <w:ind w:firstLine="560" w:firstLineChars="200"/>
        <w:rPr>
          <w:sz w:val="28"/>
          <w:szCs w:val="28"/>
        </w:rPr>
      </w:pPr>
      <w:r>
        <w:rPr>
          <w:rFonts w:hint="eastAsia"/>
          <w:sz w:val="28"/>
          <w:szCs w:val="28"/>
        </w:rPr>
        <w:t>协助院领导组织、协调、处理司法公务；办理院党组会、审判委员会、全院大会等会议事项；负责本院重要活动的组织实施；负责督办、文秘、机要、信息资料、保密、档案和图书资料等管理工作。负责本院重大活动的对外宣传、联络工作；办理其他有关工作事宜。</w:t>
      </w:r>
    </w:p>
    <w:p w14:paraId="75C7E031">
      <w:pPr>
        <w:spacing w:line="500" w:lineRule="exact"/>
        <w:ind w:firstLine="420" w:firstLineChars="150"/>
        <w:rPr>
          <w:sz w:val="28"/>
          <w:szCs w:val="28"/>
        </w:rPr>
      </w:pPr>
      <w:r>
        <w:rPr>
          <w:rFonts w:hint="eastAsia"/>
          <w:sz w:val="28"/>
          <w:szCs w:val="28"/>
        </w:rPr>
        <w:t>（2）、政治处</w:t>
      </w:r>
    </w:p>
    <w:p w14:paraId="5741AB93">
      <w:pPr>
        <w:spacing w:line="500" w:lineRule="exact"/>
        <w:ind w:firstLine="560" w:firstLineChars="200"/>
        <w:rPr>
          <w:sz w:val="28"/>
          <w:szCs w:val="28"/>
        </w:rPr>
      </w:pPr>
      <w:r>
        <w:rPr>
          <w:rFonts w:hint="eastAsia"/>
          <w:sz w:val="28"/>
          <w:szCs w:val="28"/>
        </w:rPr>
        <w:t>协助有关部门管理本院机构编制和干部人事管理工作；配合有关部门搞好本院机关的思想政治、宣传教育、新闻发布等工作；负责本院机关的干部任免、调配、工资福利、出国出境政审、退休、教育培训和法官等级、法警警衔及其他职称评定工作；负责管理机关人事档案、人事信息的采集、干部人事统计等项工作；承办院党组决定的有关事项。</w:t>
      </w:r>
    </w:p>
    <w:p w14:paraId="350AD0FB">
      <w:pPr>
        <w:spacing w:line="500" w:lineRule="exact"/>
        <w:ind w:firstLine="420" w:firstLineChars="150"/>
        <w:rPr>
          <w:sz w:val="28"/>
          <w:szCs w:val="28"/>
        </w:rPr>
      </w:pPr>
      <w:r>
        <w:rPr>
          <w:rFonts w:hint="eastAsia"/>
          <w:sz w:val="28"/>
          <w:szCs w:val="28"/>
        </w:rPr>
        <w:t>（3）、立案庭</w:t>
      </w:r>
    </w:p>
    <w:p w14:paraId="79238283">
      <w:pPr>
        <w:spacing w:line="500" w:lineRule="exact"/>
        <w:ind w:firstLine="560" w:firstLineChars="200"/>
        <w:rPr>
          <w:sz w:val="28"/>
          <w:szCs w:val="28"/>
        </w:rPr>
      </w:pPr>
      <w:r>
        <w:rPr>
          <w:rFonts w:hint="eastAsia"/>
          <w:sz w:val="28"/>
          <w:szCs w:val="28"/>
        </w:rPr>
        <w:t>对本院依法受理的各类案件进行登记立案。</w:t>
      </w:r>
    </w:p>
    <w:p w14:paraId="02238A29">
      <w:pPr>
        <w:spacing w:line="500" w:lineRule="exact"/>
        <w:ind w:firstLine="420" w:firstLineChars="150"/>
        <w:rPr>
          <w:sz w:val="28"/>
          <w:szCs w:val="28"/>
        </w:rPr>
      </w:pPr>
      <w:r>
        <w:rPr>
          <w:rFonts w:hint="eastAsia"/>
          <w:sz w:val="28"/>
          <w:szCs w:val="28"/>
        </w:rPr>
        <w:t>（4）、刑事庭</w:t>
      </w:r>
    </w:p>
    <w:p w14:paraId="150013F2">
      <w:pPr>
        <w:spacing w:line="500" w:lineRule="exact"/>
        <w:ind w:firstLine="560" w:firstLineChars="200"/>
        <w:rPr>
          <w:sz w:val="28"/>
          <w:szCs w:val="28"/>
        </w:rPr>
      </w:pPr>
      <w:r>
        <w:rPr>
          <w:rFonts w:hint="eastAsia"/>
          <w:sz w:val="28"/>
          <w:szCs w:val="28"/>
        </w:rPr>
        <w:t>依法审理刑事案件。</w:t>
      </w:r>
    </w:p>
    <w:p w14:paraId="0A3304F8">
      <w:pPr>
        <w:spacing w:line="500" w:lineRule="exact"/>
        <w:ind w:firstLine="560" w:firstLineChars="200"/>
        <w:rPr>
          <w:sz w:val="28"/>
          <w:szCs w:val="28"/>
        </w:rPr>
      </w:pPr>
      <w:r>
        <w:rPr>
          <w:rFonts w:hint="eastAsia"/>
          <w:sz w:val="28"/>
          <w:szCs w:val="28"/>
        </w:rPr>
        <w:t>（5）、少年法庭</w:t>
      </w:r>
    </w:p>
    <w:p w14:paraId="01EC6F60">
      <w:pPr>
        <w:spacing w:line="500" w:lineRule="exact"/>
        <w:ind w:firstLine="560" w:firstLineChars="200"/>
        <w:rPr>
          <w:sz w:val="28"/>
          <w:szCs w:val="28"/>
        </w:rPr>
      </w:pPr>
      <w:r>
        <w:rPr>
          <w:rFonts w:hint="eastAsia"/>
          <w:sz w:val="28"/>
          <w:szCs w:val="28"/>
        </w:rPr>
        <w:t>依法审理未成年犯罪案件。</w:t>
      </w:r>
    </w:p>
    <w:p w14:paraId="22508832">
      <w:pPr>
        <w:spacing w:line="500" w:lineRule="exact"/>
        <w:ind w:firstLine="560" w:firstLineChars="200"/>
        <w:rPr>
          <w:sz w:val="28"/>
          <w:szCs w:val="28"/>
        </w:rPr>
      </w:pPr>
      <w:r>
        <w:rPr>
          <w:rFonts w:hint="eastAsia"/>
          <w:sz w:val="28"/>
          <w:szCs w:val="28"/>
        </w:rPr>
        <w:t>（6）、民事一庭、上庄法庭、城关法庭、寺家庄法庭、铜冶法庭、宜安法庭</w:t>
      </w:r>
    </w:p>
    <w:p w14:paraId="77841644">
      <w:pPr>
        <w:spacing w:line="500" w:lineRule="exact"/>
        <w:ind w:firstLine="560" w:firstLineChars="200"/>
        <w:rPr>
          <w:sz w:val="28"/>
          <w:szCs w:val="28"/>
        </w:rPr>
      </w:pPr>
      <w:r>
        <w:rPr>
          <w:rFonts w:hint="eastAsia"/>
          <w:sz w:val="28"/>
          <w:szCs w:val="28"/>
        </w:rPr>
        <w:t>审理一审民事案件。</w:t>
      </w:r>
    </w:p>
    <w:p w14:paraId="688A0B67">
      <w:pPr>
        <w:spacing w:line="500" w:lineRule="exact"/>
        <w:ind w:firstLine="560" w:firstLineChars="200"/>
        <w:rPr>
          <w:sz w:val="28"/>
          <w:szCs w:val="28"/>
        </w:rPr>
      </w:pPr>
      <w:r>
        <w:rPr>
          <w:rFonts w:hint="eastAsia"/>
          <w:sz w:val="28"/>
          <w:szCs w:val="28"/>
        </w:rPr>
        <w:t>（7）、民事二庭</w:t>
      </w:r>
    </w:p>
    <w:p w14:paraId="50479261">
      <w:pPr>
        <w:spacing w:line="500" w:lineRule="exact"/>
        <w:ind w:firstLine="560" w:firstLineChars="200"/>
        <w:rPr>
          <w:sz w:val="28"/>
          <w:szCs w:val="28"/>
        </w:rPr>
      </w:pPr>
      <w:r>
        <w:rPr>
          <w:rFonts w:hint="eastAsia"/>
          <w:sz w:val="28"/>
          <w:szCs w:val="28"/>
        </w:rPr>
        <w:t>审理商事一审案件。</w:t>
      </w:r>
    </w:p>
    <w:p w14:paraId="1D0BFD90">
      <w:pPr>
        <w:spacing w:line="500" w:lineRule="exact"/>
        <w:ind w:firstLine="560" w:firstLineChars="200"/>
        <w:rPr>
          <w:sz w:val="28"/>
          <w:szCs w:val="28"/>
        </w:rPr>
      </w:pPr>
      <w:r>
        <w:rPr>
          <w:rFonts w:hint="eastAsia"/>
          <w:sz w:val="28"/>
          <w:szCs w:val="28"/>
        </w:rPr>
        <w:t>（8） 、民事三庭</w:t>
      </w:r>
    </w:p>
    <w:p w14:paraId="7701BD3A">
      <w:pPr>
        <w:spacing w:line="500" w:lineRule="exact"/>
        <w:ind w:firstLine="560" w:firstLineChars="200"/>
        <w:rPr>
          <w:sz w:val="28"/>
          <w:szCs w:val="28"/>
        </w:rPr>
      </w:pPr>
      <w:r>
        <w:rPr>
          <w:rFonts w:hint="eastAsia"/>
          <w:sz w:val="28"/>
          <w:szCs w:val="28"/>
        </w:rPr>
        <w:t>审理知识产权与竞争纠纷案件。</w:t>
      </w:r>
    </w:p>
    <w:p w14:paraId="75E1E03F">
      <w:pPr>
        <w:spacing w:line="500" w:lineRule="exact"/>
        <w:ind w:firstLine="560" w:firstLineChars="200"/>
        <w:rPr>
          <w:sz w:val="28"/>
          <w:szCs w:val="28"/>
        </w:rPr>
      </w:pPr>
      <w:r>
        <w:rPr>
          <w:rFonts w:hint="eastAsia"/>
          <w:sz w:val="28"/>
          <w:szCs w:val="28"/>
        </w:rPr>
        <w:t>（9）、行政庭</w:t>
      </w:r>
    </w:p>
    <w:p w14:paraId="7DBB3D2B">
      <w:pPr>
        <w:spacing w:line="500" w:lineRule="exact"/>
        <w:ind w:firstLine="560" w:firstLineChars="200"/>
        <w:rPr>
          <w:sz w:val="28"/>
          <w:szCs w:val="28"/>
        </w:rPr>
      </w:pPr>
      <w:r>
        <w:rPr>
          <w:rFonts w:hint="eastAsia"/>
          <w:sz w:val="28"/>
          <w:szCs w:val="28"/>
        </w:rPr>
        <w:t>依法审判一审行政案件。</w:t>
      </w:r>
    </w:p>
    <w:p w14:paraId="537D664B">
      <w:pPr>
        <w:spacing w:line="500" w:lineRule="exact"/>
        <w:ind w:firstLine="560" w:firstLineChars="200"/>
        <w:rPr>
          <w:sz w:val="28"/>
          <w:szCs w:val="28"/>
        </w:rPr>
      </w:pPr>
      <w:r>
        <w:rPr>
          <w:rFonts w:hint="eastAsia"/>
          <w:sz w:val="28"/>
          <w:szCs w:val="28"/>
        </w:rPr>
        <w:t>（10）、审监庭</w:t>
      </w:r>
    </w:p>
    <w:p w14:paraId="69A77B78">
      <w:pPr>
        <w:spacing w:line="500" w:lineRule="exact"/>
        <w:ind w:firstLine="560" w:firstLineChars="200"/>
        <w:rPr>
          <w:sz w:val="28"/>
          <w:szCs w:val="28"/>
        </w:rPr>
      </w:pPr>
      <w:r>
        <w:rPr>
          <w:rFonts w:hint="eastAsia"/>
          <w:sz w:val="28"/>
          <w:szCs w:val="28"/>
        </w:rPr>
        <w:t>审判不服本院生效裁判的再审案件(刑事、合同纠纷商事再审案件除外)；办理上级机关或监督机关要查报结果的案件。</w:t>
      </w:r>
    </w:p>
    <w:p w14:paraId="6713DD85">
      <w:pPr>
        <w:spacing w:line="500" w:lineRule="exact"/>
        <w:ind w:firstLine="560" w:firstLineChars="200"/>
        <w:rPr>
          <w:sz w:val="28"/>
          <w:szCs w:val="28"/>
        </w:rPr>
      </w:pPr>
      <w:r>
        <w:rPr>
          <w:rFonts w:hint="eastAsia"/>
          <w:sz w:val="28"/>
          <w:szCs w:val="28"/>
        </w:rPr>
        <w:t>（11）、审管办</w:t>
      </w:r>
    </w:p>
    <w:p w14:paraId="53EB08F7">
      <w:pPr>
        <w:spacing w:line="500" w:lineRule="exact"/>
        <w:ind w:firstLine="560" w:firstLineChars="200"/>
        <w:rPr>
          <w:sz w:val="28"/>
          <w:szCs w:val="28"/>
        </w:rPr>
      </w:pPr>
      <w:r>
        <w:rPr>
          <w:rFonts w:hint="eastAsia"/>
          <w:sz w:val="28"/>
          <w:szCs w:val="28"/>
        </w:rPr>
        <w:t>负责审判流程管理、案件质量评查、审判运行态势分析、审判经验总结工作；承担司法统计工作；负责审判质量和效率的统计、分析、评估、监督检查等相关工作。</w:t>
      </w:r>
    </w:p>
    <w:p w14:paraId="762D5C5F">
      <w:pPr>
        <w:spacing w:line="500" w:lineRule="exact"/>
        <w:ind w:firstLine="560" w:firstLineChars="200"/>
        <w:rPr>
          <w:sz w:val="28"/>
          <w:szCs w:val="28"/>
        </w:rPr>
      </w:pPr>
      <w:r>
        <w:rPr>
          <w:rFonts w:hint="eastAsia"/>
          <w:sz w:val="28"/>
          <w:szCs w:val="28"/>
        </w:rPr>
        <w:t>（12）、执行局</w:t>
      </w:r>
    </w:p>
    <w:p w14:paraId="131BCB87">
      <w:pPr>
        <w:spacing w:line="500" w:lineRule="exact"/>
        <w:ind w:firstLine="560" w:firstLineChars="200"/>
        <w:rPr>
          <w:sz w:val="28"/>
          <w:szCs w:val="28"/>
        </w:rPr>
      </w:pPr>
      <w:r>
        <w:rPr>
          <w:rFonts w:hint="eastAsia"/>
          <w:sz w:val="28"/>
          <w:szCs w:val="28"/>
        </w:rPr>
        <w:t>负责本法院一审生效判决、裁定及调解书的执行；办理其他应依法执行的事项。</w:t>
      </w:r>
    </w:p>
    <w:p w14:paraId="00385B4E">
      <w:pPr>
        <w:spacing w:line="500" w:lineRule="exact"/>
        <w:ind w:firstLine="560" w:firstLineChars="200"/>
        <w:rPr>
          <w:sz w:val="28"/>
          <w:szCs w:val="28"/>
        </w:rPr>
      </w:pPr>
      <w:r>
        <w:rPr>
          <w:rFonts w:hint="eastAsia"/>
          <w:sz w:val="28"/>
          <w:szCs w:val="28"/>
        </w:rPr>
        <w:t>（13）、法警队</w:t>
      </w:r>
    </w:p>
    <w:p w14:paraId="4EEF393E">
      <w:pPr>
        <w:spacing w:line="500" w:lineRule="exact"/>
        <w:ind w:firstLine="560" w:firstLineChars="200"/>
        <w:rPr>
          <w:sz w:val="28"/>
          <w:szCs w:val="28"/>
        </w:rPr>
      </w:pPr>
      <w:r>
        <w:rPr>
          <w:rFonts w:hint="eastAsia"/>
          <w:sz w:val="28"/>
          <w:szCs w:val="28"/>
        </w:rPr>
        <w:t>负责本院司法警察警务工作。</w:t>
      </w:r>
    </w:p>
    <w:p w14:paraId="29617F6D">
      <w:pPr>
        <w:spacing w:line="500" w:lineRule="exact"/>
        <w:ind w:firstLine="560" w:firstLineChars="200"/>
        <w:rPr>
          <w:sz w:val="28"/>
          <w:szCs w:val="28"/>
        </w:rPr>
      </w:pPr>
      <w:r>
        <w:rPr>
          <w:rFonts w:hint="eastAsia"/>
          <w:sz w:val="28"/>
          <w:szCs w:val="28"/>
        </w:rPr>
        <w:t>（14）、司法技术鉴定室</w:t>
      </w:r>
    </w:p>
    <w:p w14:paraId="6832522E">
      <w:pPr>
        <w:spacing w:line="500" w:lineRule="exact"/>
        <w:ind w:firstLine="560" w:firstLineChars="200"/>
        <w:rPr>
          <w:sz w:val="28"/>
          <w:szCs w:val="28"/>
        </w:rPr>
      </w:pPr>
      <w:r>
        <w:rPr>
          <w:rFonts w:hint="eastAsia"/>
          <w:sz w:val="28"/>
          <w:szCs w:val="28"/>
        </w:rPr>
        <w:t>负责本院的司法鉴定技术工作。</w:t>
      </w:r>
    </w:p>
    <w:p w14:paraId="6E95814F">
      <w:pPr>
        <w:spacing w:line="500" w:lineRule="exact"/>
        <w:ind w:firstLine="560" w:firstLineChars="200"/>
        <w:rPr>
          <w:sz w:val="28"/>
          <w:szCs w:val="28"/>
        </w:rPr>
      </w:pPr>
      <w:r>
        <w:rPr>
          <w:rFonts w:hint="eastAsia"/>
          <w:sz w:val="28"/>
          <w:szCs w:val="28"/>
        </w:rPr>
        <w:t>（15）、纪检监察室</w:t>
      </w:r>
    </w:p>
    <w:p w14:paraId="7477C132">
      <w:pPr>
        <w:spacing w:line="500" w:lineRule="exact"/>
        <w:ind w:firstLine="560" w:firstLineChars="200"/>
        <w:rPr>
          <w:sz w:val="28"/>
          <w:szCs w:val="28"/>
        </w:rPr>
      </w:pPr>
      <w:r>
        <w:rPr>
          <w:rFonts w:hint="eastAsia"/>
          <w:sz w:val="28"/>
          <w:szCs w:val="28"/>
        </w:rPr>
        <w:t>协助党组抓好本院党风、党纪和廉政建设。</w:t>
      </w:r>
    </w:p>
    <w:p w14:paraId="40FB7C3A">
      <w:pPr>
        <w:spacing w:line="500" w:lineRule="exact"/>
        <w:ind w:firstLine="560" w:firstLineChars="200"/>
        <w:rPr>
          <w:sz w:val="28"/>
          <w:szCs w:val="28"/>
        </w:rPr>
      </w:pPr>
      <w:r>
        <w:rPr>
          <w:rFonts w:hint="eastAsia"/>
          <w:sz w:val="28"/>
          <w:szCs w:val="28"/>
        </w:rPr>
        <w:t>（16）、网络信息化办公室</w:t>
      </w:r>
    </w:p>
    <w:p w14:paraId="30024E24">
      <w:pPr>
        <w:spacing w:line="500" w:lineRule="exact"/>
        <w:ind w:firstLine="560" w:firstLineChars="200"/>
        <w:rPr>
          <w:sz w:val="28"/>
          <w:szCs w:val="28"/>
        </w:rPr>
      </w:pPr>
      <w:r>
        <w:rPr>
          <w:rFonts w:hint="eastAsia"/>
          <w:sz w:val="28"/>
          <w:szCs w:val="28"/>
        </w:rPr>
        <w:t>负责通讯、计算机网络管理工作及审判庭设备的购置、维修管理工作。</w:t>
      </w:r>
    </w:p>
    <w:p w14:paraId="46124013">
      <w:pPr>
        <w:spacing w:line="500" w:lineRule="exact"/>
        <w:ind w:firstLine="560"/>
        <w:rPr>
          <w:rFonts w:asciiTheme="minorEastAsia" w:hAnsiTheme="minorEastAsia" w:eastAsiaTheme="minorEastAsia"/>
          <w:sz w:val="28"/>
          <w:szCs w:val="28"/>
        </w:rPr>
      </w:pPr>
      <w:r>
        <w:rPr>
          <w:rFonts w:hint="eastAsia" w:asciiTheme="minorEastAsia" w:hAnsiTheme="minorEastAsia" w:eastAsiaTheme="minorEastAsia"/>
          <w:sz w:val="28"/>
          <w:szCs w:val="28"/>
        </w:rPr>
        <w:t>以</w:t>
      </w:r>
      <w:r>
        <w:rPr>
          <w:rFonts w:asciiTheme="minorEastAsia" w:hAnsiTheme="minorEastAsia" w:eastAsiaTheme="minorEastAsia"/>
          <w:sz w:val="28"/>
          <w:szCs w:val="28"/>
        </w:rPr>
        <w:t>“</w:t>
      </w:r>
      <w:r>
        <w:rPr>
          <w:rFonts w:hint="eastAsia" w:asciiTheme="minorEastAsia" w:hAnsiTheme="minorEastAsia" w:eastAsiaTheme="minorEastAsia"/>
          <w:sz w:val="28"/>
          <w:szCs w:val="28"/>
        </w:rPr>
        <w:t>公正与效率</w:t>
      </w:r>
      <w:r>
        <w:rPr>
          <w:rFonts w:asciiTheme="minorEastAsia" w:hAnsiTheme="minorEastAsia" w:eastAsiaTheme="minorEastAsia"/>
          <w:sz w:val="28"/>
          <w:szCs w:val="28"/>
        </w:rPr>
        <w:t>”</w:t>
      </w:r>
      <w:r>
        <w:rPr>
          <w:rFonts w:hint="eastAsia" w:asciiTheme="minorEastAsia" w:hAnsiTheme="minorEastAsia" w:eastAsiaTheme="minorEastAsia"/>
          <w:sz w:val="28"/>
          <w:szCs w:val="28"/>
        </w:rPr>
        <w:t>为主题，充分发挥审判职能作用；以法院改革为动力，全面提高法官整体素质；以强化内部管理为手段，加强法官队伍建设，；以质量建院为根本，提高审判效率；以人民满意为目标，推进</w:t>
      </w:r>
      <w:r>
        <w:rPr>
          <w:rFonts w:asciiTheme="minorEastAsia" w:hAnsiTheme="minorEastAsia" w:eastAsiaTheme="minorEastAsia"/>
          <w:sz w:val="28"/>
          <w:szCs w:val="28"/>
        </w:rPr>
        <w:t>“</w:t>
      </w:r>
      <w:r>
        <w:rPr>
          <w:rFonts w:hint="eastAsia" w:asciiTheme="minorEastAsia" w:hAnsiTheme="minorEastAsia" w:eastAsiaTheme="minorEastAsia"/>
          <w:sz w:val="28"/>
          <w:szCs w:val="28"/>
        </w:rPr>
        <w:t>司法关注民生、审判贴近百姓</w:t>
      </w:r>
      <w:r>
        <w:rPr>
          <w:rFonts w:asciiTheme="minorEastAsia" w:hAnsiTheme="minorEastAsia" w:eastAsiaTheme="minorEastAsia"/>
          <w:sz w:val="28"/>
          <w:szCs w:val="28"/>
        </w:rPr>
        <w:t>”</w:t>
      </w:r>
      <w:r>
        <w:rPr>
          <w:rFonts w:hint="eastAsia" w:asciiTheme="minorEastAsia" w:hAnsiTheme="minorEastAsia" w:eastAsiaTheme="minorEastAsia"/>
          <w:sz w:val="28"/>
          <w:szCs w:val="28"/>
        </w:rPr>
        <w:t>新的审判理念，为自治旗全面建设小康社会提供有力的司法保障。全面加强审判和执行工作，促进经济发展和社会进步。依法审判法律规定由区人民法院管辖的刑事、民事、行政等案件，依法办理发生效力判决、其他法律文书的执行，做好审判管理工作。妥善审理经济转型过程中引发的各类矛盾纠纷，依法维护国家安全和社会稳定，要进一步加强刑事审判工作，继续依法严惩危害国家安全、侵害人民群众根本利益的犯罪,。积极推进平安鹿泉建设，营造良好的法治环境。落实司法为民措施，依法及时调解社会矛盾，确保社会稳定。依法及时调整各类市场主体之间的财产、信用和契约关系，平等保护各类市场主体的合法权益，促进国家机关依法行使职权。规范、保障、促进审判执行工作。开展司法技术辅助工作，完成涉法涉诉类案件的息诉罢访工作，依法办理国家赔偿案件，加强行政审判工作和国家赔偿工作，依法审理各类行政案件，妥善解决行政争议，依法确认国家赔偿责任，加强对行政执法活动的监督，保护公民、法人和其他组织的合法权益。。加强法院队伍建设，加强外宣传以及舆论，树立法院良好形象。</w:t>
      </w:r>
    </w:p>
    <w:p w14:paraId="6AE2A5B4">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0B023F8">
      <w:pPr>
        <w:pStyle w:val="7"/>
        <w:spacing w:before="0" w:beforeAutospacing="0" w:after="0" w:afterAutospacing="0" w:line="480" w:lineRule="auto"/>
        <w:ind w:firstLine="560"/>
        <w:jc w:val="both"/>
        <w:textAlignment w:val="center"/>
        <w:rPr>
          <w:rFonts w:cs="Helvetica" w:asciiTheme="minorEastAsia" w:hAnsiTheme="minorEastAsia" w:eastAsiaTheme="minorEastAsia"/>
          <w:color w:val="333333"/>
        </w:rPr>
      </w:pPr>
      <w:r>
        <w:rPr>
          <w:rFonts w:hint="eastAsia" w:asciiTheme="minorEastAsia" w:hAnsiTheme="minorEastAsia" w:eastAsiaTheme="minorEastAsia"/>
        </w:rPr>
        <w:t>（一）法院信息化建设项目是</w:t>
      </w:r>
      <w:r>
        <w:rPr>
          <w:rFonts w:cs="Helvetica" w:asciiTheme="minorEastAsia" w:hAnsiTheme="minorEastAsia" w:eastAsiaTheme="minorEastAsia"/>
          <w:color w:val="333333"/>
        </w:rPr>
        <w:t>建设一个符合现代法院标准的功能设施齐全，具有良好环境的法院，是人民法院审判事业科学发展的必然选择。</w:t>
      </w:r>
    </w:p>
    <w:p w14:paraId="5E2C9B7F">
      <w:pPr>
        <w:pStyle w:val="7"/>
        <w:spacing w:before="0" w:beforeAutospacing="0" w:after="0" w:afterAutospacing="0" w:line="480" w:lineRule="auto"/>
        <w:ind w:firstLine="560"/>
        <w:jc w:val="both"/>
        <w:textAlignment w:val="center"/>
        <w:rPr>
          <w:rFonts w:ascii="Helvetica" w:hAnsi="Helvetica" w:cs="Helvetica"/>
          <w:color w:val="333333"/>
        </w:rPr>
      </w:pPr>
      <w:r>
        <w:rPr>
          <w:rFonts w:hint="eastAsia" w:ascii="Helvetica" w:hAnsi="Helvetica" w:cs="Helvetica"/>
          <w:color w:val="333333"/>
        </w:rPr>
        <w:t>绩效目标：确保我院庭审直播公开实现信息化直播率达到100%，案件归档率100%庭审录像率100%全面直观反映法院司法公开。</w:t>
      </w:r>
    </w:p>
    <w:p w14:paraId="0BDA948B">
      <w:pPr>
        <w:pStyle w:val="7"/>
        <w:spacing w:before="0" w:beforeAutospacing="0" w:after="0" w:afterAutospacing="0" w:line="480" w:lineRule="auto"/>
        <w:ind w:firstLine="420"/>
        <w:jc w:val="both"/>
        <w:textAlignment w:val="center"/>
        <w:rPr>
          <w:rFonts w:ascii="Helvetica" w:hAnsi="Helvetica" w:cs="Helvetica"/>
          <w:color w:val="333333"/>
        </w:rPr>
      </w:pPr>
      <w:r>
        <w:rPr>
          <w:rFonts w:hint="eastAsia" w:ascii="Helvetica" w:hAnsi="Helvetica" w:cs="Helvetica"/>
          <w:color w:val="333333"/>
        </w:rPr>
        <w:t>绩效指标：庭审直播公开实现信息化直播率占总庭审数量的比率100%，</w:t>
      </w:r>
    </w:p>
    <w:p w14:paraId="6196DCC2">
      <w:pPr>
        <w:pStyle w:val="7"/>
        <w:spacing w:before="0" w:beforeAutospacing="0" w:after="0" w:afterAutospacing="0" w:line="480" w:lineRule="auto"/>
        <w:ind w:firstLine="420"/>
        <w:jc w:val="both"/>
        <w:textAlignment w:val="center"/>
        <w:rPr>
          <w:rFonts w:ascii="Helvetica" w:hAnsi="Helvetica" w:cs="Helvetica"/>
          <w:color w:val="333333"/>
        </w:rPr>
      </w:pPr>
      <w:r>
        <w:rPr>
          <w:rFonts w:hint="eastAsia" w:ascii="Helvetica" w:hAnsi="Helvetica" w:cs="Helvetica"/>
          <w:color w:val="333333"/>
        </w:rPr>
        <w:t>（二）2019年质保证项目用来作为维修建筑工程，在保修期限之内以及保修范围内出现的质量缺陷，目的是主要担保竣工验收完成以后，保修期限内出现的质量问题。</w:t>
      </w:r>
    </w:p>
    <w:p w14:paraId="12748AD1">
      <w:pPr>
        <w:pStyle w:val="7"/>
        <w:spacing w:before="0" w:beforeAutospacing="0" w:after="0" w:afterAutospacing="0" w:line="480" w:lineRule="auto"/>
        <w:ind w:left="210" w:leftChars="100" w:firstLine="420"/>
        <w:jc w:val="both"/>
        <w:textAlignment w:val="center"/>
        <w:rPr>
          <w:rFonts w:ascii="Helvetica" w:hAnsi="Helvetica" w:cs="Helvetica"/>
          <w:color w:val="333333"/>
        </w:rPr>
      </w:pPr>
      <w:r>
        <w:rPr>
          <w:rFonts w:hint="eastAsia" w:ascii="Helvetica" w:hAnsi="Helvetica" w:cs="Helvetica"/>
          <w:color w:val="333333"/>
        </w:rPr>
        <w:t>绩效目标：按时支付质保金，确保承包人根据建设单位的要求，用以施工质量出现的质量缺陷资金，保证承包人在缺陷责任期内对建设工程出现的缺陷进行修复。</w:t>
      </w:r>
    </w:p>
    <w:p w14:paraId="444C58ED">
      <w:pPr>
        <w:pStyle w:val="7"/>
        <w:spacing w:before="0" w:beforeAutospacing="0" w:after="0" w:afterAutospacing="0" w:line="480" w:lineRule="auto"/>
        <w:ind w:left="210" w:leftChars="100" w:firstLine="420"/>
        <w:jc w:val="both"/>
        <w:textAlignment w:val="center"/>
        <w:rPr>
          <w:rFonts w:ascii="Helvetica" w:hAnsi="Helvetica" w:cs="Helvetica"/>
          <w:color w:val="333333"/>
        </w:rPr>
      </w:pPr>
      <w:r>
        <w:rPr>
          <w:rFonts w:hint="eastAsia" w:ascii="Helvetica" w:hAnsi="Helvetica" w:cs="Helvetica"/>
          <w:color w:val="333333"/>
        </w:rPr>
        <w:t>绩效指标：按期完成的工程量占总工程量的比率100%，通过验收的工程量占建设、改造、修缮总量的比率100%</w:t>
      </w:r>
    </w:p>
    <w:p w14:paraId="2E8DCE49">
      <w:pPr>
        <w:spacing w:line="500" w:lineRule="exact"/>
        <w:ind w:firstLine="570"/>
        <w:rPr>
          <w:rFonts w:asciiTheme="minorEastAsia" w:hAnsiTheme="minorEastAsia" w:eastAsiaTheme="minorEastAsia"/>
          <w:sz w:val="24"/>
          <w:szCs w:val="24"/>
        </w:rPr>
      </w:pPr>
      <w:r>
        <w:rPr>
          <w:rFonts w:hint="eastAsia" w:asciiTheme="minorEastAsia" w:hAnsiTheme="minorEastAsia" w:eastAsiaTheme="minorEastAsia"/>
          <w:sz w:val="24"/>
          <w:szCs w:val="24"/>
        </w:rPr>
        <w:t>（三）法院业务费项目</w:t>
      </w:r>
    </w:p>
    <w:p w14:paraId="5C048DF7">
      <w:pPr>
        <w:spacing w:line="500" w:lineRule="exact"/>
        <w:ind w:firstLine="570"/>
        <w:rPr>
          <w:rFonts w:asciiTheme="minorEastAsia" w:hAnsiTheme="minorEastAsia" w:eastAsiaTheme="minorEastAsia"/>
          <w:sz w:val="24"/>
          <w:szCs w:val="24"/>
        </w:rPr>
      </w:pPr>
      <w:r>
        <w:rPr>
          <w:rFonts w:hint="eastAsia" w:asciiTheme="minorEastAsia" w:hAnsiTheme="minorEastAsia" w:eastAsiaTheme="minorEastAsia"/>
          <w:sz w:val="24"/>
          <w:szCs w:val="24"/>
        </w:rPr>
        <w:t>绩效目标：使各类案件通过判决或调解在法定期限内结案</w:t>
      </w:r>
    </w:p>
    <w:p w14:paraId="523C7381">
      <w:pPr>
        <w:spacing w:line="500" w:lineRule="exact"/>
        <w:ind w:firstLine="570"/>
        <w:rPr>
          <w:rFonts w:asciiTheme="minorEastAsia" w:hAnsiTheme="minorEastAsia" w:eastAsiaTheme="minorEastAsia"/>
          <w:sz w:val="24"/>
          <w:szCs w:val="24"/>
        </w:rPr>
      </w:pPr>
      <w:r>
        <w:rPr>
          <w:rFonts w:hint="eastAsia" w:asciiTheme="minorEastAsia" w:hAnsiTheme="minorEastAsia" w:eastAsiaTheme="minorEastAsia"/>
          <w:sz w:val="24"/>
          <w:szCs w:val="24"/>
        </w:rPr>
        <w:t>绩效指标：已结案件数量占全部立案数量的比率在85&amp;以上，案件在规定期限内结案率在95%以上。</w:t>
      </w:r>
    </w:p>
    <w:p w14:paraId="35949A57">
      <w:pPr>
        <w:spacing w:line="500" w:lineRule="exact"/>
        <w:ind w:firstLine="560" w:firstLineChars="200"/>
        <w:jc w:val="left"/>
        <w:rPr>
          <w:rFonts w:ascii="Times New Roman" w:eastAsia="方正仿宋_GBK"/>
          <w:sz w:val="28"/>
        </w:rPr>
      </w:pPr>
      <w:r>
        <w:rPr>
          <w:rFonts w:ascii="Times New Roman" w:eastAsia="方正仿宋_GBK"/>
          <w:sz w:val="28"/>
        </w:rPr>
        <w:t>（四）《关于提前下达2020年法院建设补助资金的通知》项目</w:t>
      </w:r>
    </w:p>
    <w:p w14:paraId="3DB3FE21">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eastAsia="方正仿宋_GBK"/>
          <w:sz w:val="28"/>
        </w:rPr>
        <w:t xml:space="preserve">   </w:t>
      </w:r>
      <w:r>
        <w:rPr>
          <w:rFonts w:ascii="Times New Roman" w:eastAsia="方正仿宋_GBK"/>
          <w:sz w:val="28"/>
        </w:rPr>
        <w:t>绩效目标：购置1套高速彩色多功能打印装订一体化设备和诉讼服</w:t>
      </w:r>
    </w:p>
    <w:p w14:paraId="5B51DD54">
      <w:pPr>
        <w:spacing w:line="500" w:lineRule="exact"/>
        <w:ind w:firstLine="560" w:firstLineChars="200"/>
        <w:jc w:val="left"/>
        <w:rPr>
          <w:rFonts w:ascii="Times New Roman" w:eastAsia="方正仿宋_GBK"/>
          <w:sz w:val="28"/>
        </w:rPr>
      </w:pPr>
      <w:r>
        <w:rPr>
          <w:rFonts w:ascii="Times New Roman" w:eastAsia="方正仿宋_GBK"/>
          <w:sz w:val="28"/>
        </w:rPr>
        <w:t>务中心升级改造装备（“一站式”综合服务平台）购置</w:t>
      </w:r>
    </w:p>
    <w:p w14:paraId="0DE85018">
      <w:pPr>
        <w:spacing w:line="500" w:lineRule="exact"/>
        <w:ind w:firstLine="1120" w:firstLineChars="400"/>
        <w:jc w:val="left"/>
        <w:rPr>
          <w:rFonts w:ascii="Times New Roman" w:eastAsia="方正仿宋_GBK"/>
          <w:sz w:val="28"/>
        </w:rPr>
      </w:pPr>
      <w:r>
        <w:rPr>
          <w:rFonts w:ascii="Times New Roman" w:eastAsia="方正仿宋_GBK"/>
          <w:sz w:val="28"/>
        </w:rPr>
        <w:t xml:space="preserve"> 绩效指标：购置高速彩色多功能打印装订一体化设备的数量1套，</w:t>
      </w:r>
    </w:p>
    <w:p w14:paraId="3CFB6125">
      <w:pPr>
        <w:spacing w:line="500" w:lineRule="exact"/>
        <w:ind w:firstLine="560" w:firstLineChars="200"/>
        <w:jc w:val="left"/>
        <w:rPr>
          <w:rFonts w:ascii="Times New Roman" w:eastAsia="方正仿宋_GBK"/>
          <w:sz w:val="28"/>
        </w:rPr>
      </w:pPr>
      <w:r>
        <w:rPr>
          <w:rFonts w:ascii="Times New Roman" w:eastAsia="方正仿宋_GBK"/>
          <w:sz w:val="28"/>
        </w:rPr>
        <w:t>诉讼服务中心升级改造装备（“一站式”综合服务平台）购置1套，按照</w:t>
      </w:r>
    </w:p>
    <w:p w14:paraId="2491EB9E">
      <w:pPr>
        <w:spacing w:line="500" w:lineRule="exact"/>
        <w:ind w:firstLine="560" w:firstLineChars="200"/>
        <w:jc w:val="left"/>
        <w:rPr>
          <w:rFonts w:ascii="Times New Roman" w:eastAsia="方正仿宋_GBK"/>
          <w:sz w:val="28"/>
        </w:rPr>
      </w:pPr>
      <w:r>
        <w:rPr>
          <w:rFonts w:ascii="Times New Roman" w:eastAsia="方正仿宋_GBK"/>
          <w:sz w:val="28"/>
        </w:rPr>
        <w:t>要求和计划完成项目在所有立项项目中的比例100%，业务装备配备水</w:t>
      </w:r>
    </w:p>
    <w:p w14:paraId="325730E7">
      <w:pPr>
        <w:spacing w:line="500" w:lineRule="exact"/>
        <w:ind w:firstLine="560" w:firstLineChars="200"/>
        <w:jc w:val="left"/>
        <w:rPr>
          <w:rFonts w:ascii="Times New Roman" w:eastAsia="方正仿宋_GBK"/>
          <w:sz w:val="28"/>
        </w:rPr>
      </w:pPr>
      <w:r>
        <w:rPr>
          <w:rFonts w:ascii="Times New Roman" w:eastAsia="方正仿宋_GBK"/>
          <w:sz w:val="28"/>
        </w:rPr>
        <w:t>平进一步提升，保障审判工作能力进一步提升。</w:t>
      </w:r>
    </w:p>
    <w:p w14:paraId="25093926">
      <w:pPr>
        <w:spacing w:line="500" w:lineRule="exact"/>
        <w:ind w:firstLine="560" w:firstLineChars="200"/>
        <w:jc w:val="left"/>
        <w:rPr>
          <w:rFonts w:hint="eastAsia" w:asciiTheme="minorEastAsia" w:hAnsiTheme="minorEastAsia" w:eastAsiaTheme="minorEastAsia"/>
          <w:sz w:val="28"/>
          <w:szCs w:val="28"/>
        </w:rPr>
      </w:pPr>
      <w:r>
        <w:rPr>
          <w:rFonts w:hint="eastAsia" w:asciiTheme="minorEastAsia" w:hAnsiTheme="minorEastAsia" w:eastAsiaTheme="minorEastAsia"/>
          <w:sz w:val="28"/>
          <w:szCs w:val="28"/>
        </w:rPr>
        <w:t xml:space="preserve"> 三、工作保障措施</w:t>
      </w:r>
    </w:p>
    <w:p w14:paraId="00287E2E">
      <w:pPr>
        <w:spacing w:line="500" w:lineRule="exact"/>
        <w:ind w:firstLine="560" w:firstLineChars="200"/>
        <w:jc w:val="left"/>
        <w:rPr>
          <w:rFonts w:hint="eastAsia"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1、加强制度建设。进一步建立健全机关预算绩效管理制度，为全年预算绩效目标的实现奠定制度基础。</w:t>
      </w:r>
    </w:p>
    <w:p w14:paraId="1C2DC035">
      <w:pPr>
        <w:spacing w:line="500" w:lineRule="exact"/>
        <w:ind w:firstLine="560" w:firstLineChars="200"/>
        <w:jc w:val="left"/>
        <w:rPr>
          <w:rFonts w:hint="eastAsia"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2、规范财务管理。进一步完善财务管理制度，通过科学编制预算、优化支出结构、加快政府采购、加快项目建设、及时拨付资金，确保经费支出进度达到规定标准。</w:t>
      </w:r>
    </w:p>
    <w:p w14:paraId="0BECDB0C">
      <w:pPr>
        <w:spacing w:line="500" w:lineRule="exact"/>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color w:val="000000"/>
          <w:sz w:val="28"/>
          <w:szCs w:val="28"/>
        </w:rPr>
        <w:t>3、加强内部监督。加强内部监督制度建设，对绩效运行、重大支出事项、资产处置及其他重要经济业务事项决策和执行进行监督，定期开展财务内部审计，确保财政资金使用安全合规。为全区法院案件审判、执行等各项工作有序开展提供有力保障。</w:t>
      </w:r>
    </w:p>
    <w:p w14:paraId="73316EB6">
      <w:pPr>
        <w:pStyle w:val="7"/>
        <w:spacing w:before="0" w:beforeAutospacing="0" w:after="0" w:afterAutospacing="0" w:line="500" w:lineRule="exact"/>
        <w:ind w:firstLine="560" w:firstLineChars="200"/>
        <w:rPr>
          <w:rFonts w:hint="eastAsia"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4、加强绩效监控。积极开展绩效运行监控，发现问题及时采取措施，确保绩效目标如期保质实现。建议区财政加强对我院预算绩效管理业务的培训指导，推动整体预算绩效管理水平不断提升。</w:t>
      </w:r>
    </w:p>
    <w:p w14:paraId="17081A0B">
      <w:pPr>
        <w:pStyle w:val="7"/>
        <w:spacing w:before="0" w:beforeAutospacing="0" w:after="0" w:afterAutospacing="0" w:line="500" w:lineRule="exact"/>
        <w:ind w:firstLine="560" w:firstLineChars="200"/>
        <w:rPr>
          <w:rFonts w:hint="eastAsia"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5、做好绩效自评。按要求开展部门预算绩效自评和重点项目评价工作，对评价中发现的问题及时整改。</w:t>
      </w:r>
    </w:p>
    <w:p w14:paraId="0F7BDAB9">
      <w:pPr>
        <w:pStyle w:val="7"/>
        <w:spacing w:before="0" w:beforeAutospacing="0" w:after="0" w:afterAutospacing="0" w:line="50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6、加强宣传培训。加强人员培训，加大宣传力度，强化预算绩效管理意识，促进预算绩效管理水平提升。</w:t>
      </w:r>
    </w:p>
    <w:p w14:paraId="68F5F60A">
      <w:pPr>
        <w:pStyle w:val="7"/>
        <w:spacing w:before="0" w:beforeAutospacing="0" w:after="0" w:afterAutospacing="0" w:line="500" w:lineRule="exact"/>
        <w:ind w:firstLine="560" w:firstLineChars="200"/>
        <w:rPr>
          <w:rFonts w:asciiTheme="minorEastAsia" w:hAnsiTheme="minorEastAsia" w:eastAsiaTheme="minorEastAsia"/>
          <w:color w:val="000000"/>
          <w:sz w:val="28"/>
          <w:szCs w:val="28"/>
        </w:rPr>
      </w:pPr>
      <w:r>
        <w:rPr>
          <w:rFonts w:hint="eastAsia" w:asciiTheme="minorEastAsia" w:hAnsiTheme="minorEastAsia" w:eastAsiaTheme="minorEastAsia"/>
          <w:color w:val="000000"/>
          <w:sz w:val="28"/>
          <w:szCs w:val="28"/>
        </w:rPr>
        <w:t>7、抓好重点工作。将2020年度列入全年工作要点的各项工作拉出目标清单，细化责任分工，定期调度工作进展，全力抓好重点工作。</w:t>
      </w:r>
    </w:p>
    <w:p w14:paraId="64618099">
      <w:pPr>
        <w:autoSpaceDE w:val="0"/>
        <w:autoSpaceDN w:val="0"/>
        <w:adjustRightInd w:val="0"/>
        <w:ind w:left="198" w:firstLine="643" w:firstLineChars="200"/>
        <w:jc w:val="center"/>
        <w:rPr>
          <w:rFonts w:hint="eastAsia" w:ascii="Times New Roman" w:hAnsi="Times New Roman" w:eastAsia="方正仿宋_GBK" w:cs="Times New Roman"/>
          <w:b/>
          <w:color w:val="000000" w:themeColor="text1"/>
          <w:sz w:val="32"/>
          <w:szCs w:val="32"/>
          <w14:textFill>
            <w14:solidFill>
              <w14:schemeClr w14:val="tx1"/>
            </w14:solidFill>
          </w14:textFill>
        </w:rPr>
      </w:pPr>
    </w:p>
    <w:p w14:paraId="29CA9AC7">
      <w:pPr>
        <w:autoSpaceDE w:val="0"/>
        <w:autoSpaceDN w:val="0"/>
        <w:adjustRightInd w:val="0"/>
        <w:ind w:left="198" w:firstLine="643" w:firstLineChars="200"/>
        <w:jc w:val="center"/>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第二部分  预算项目绩效目标</w:t>
      </w:r>
    </w:p>
    <w:bookmarkEnd w:id="0"/>
    <w:p w14:paraId="1F098947">
      <w:pPr>
        <w:ind w:firstLine="562" w:firstLineChars="200"/>
        <w:jc w:val="left"/>
        <w:outlineLvl w:val="1"/>
        <w:rPr>
          <w:rFonts w:hint="eastAsia" w:ascii="方正仿宋_GBK" w:eastAsia="方正仿宋_GBK"/>
          <w:b/>
          <w:sz w:val="28"/>
        </w:rPr>
      </w:pPr>
    </w:p>
    <w:p w14:paraId="009EF83C">
      <w:pPr>
        <w:ind w:firstLine="562" w:firstLineChars="200"/>
        <w:jc w:val="left"/>
        <w:outlineLvl w:val="1"/>
        <w:rPr>
          <w:rFonts w:ascii="Times New Roman" w:hAnsi="宋体"/>
          <w:b/>
          <w:sz w:val="28"/>
        </w:rPr>
      </w:pPr>
      <w:r>
        <w:rPr>
          <w:rFonts w:hint="eastAsia" w:ascii="方正仿宋_GBK" w:eastAsia="方正仿宋_GBK"/>
          <w:b/>
          <w:sz w:val="28"/>
        </w:rPr>
        <w:t>1、19年工程项目质保金绩效目标表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32497512"/>
      <w:r>
        <w:rPr>
          <w:rFonts w:hint="eastAsia" w:ascii="方正仿宋_GBK" w:eastAsia="方正仿宋_GBK"/>
          <w:b/>
          <w:sz w:val="28"/>
        </w:rPr>
        <w:instrText xml:space="preserve">1、19年工程项目质保金绩效目标表</w:instrText>
      </w:r>
      <w:bookmarkEnd w:id="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F3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8B7D24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79C2185C">
            <w:pPr>
              <w:spacing w:line="300" w:lineRule="exact"/>
              <w:jc w:val="right"/>
              <w:rPr>
                <w:rFonts w:ascii="方正书宋_GBK" w:eastAsia="方正书宋_GBK"/>
              </w:rPr>
            </w:pPr>
            <w:r>
              <w:rPr>
                <w:rFonts w:hint="eastAsia" w:ascii="方正书宋_GBK" w:eastAsia="方正书宋_GBK"/>
              </w:rPr>
              <w:t>单位：万元</w:t>
            </w:r>
          </w:p>
        </w:tc>
      </w:tr>
      <w:tr w14:paraId="27AD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9CFB42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F5CE17B">
            <w:pPr>
              <w:spacing w:line="300" w:lineRule="exact"/>
              <w:jc w:val="left"/>
              <w:rPr>
                <w:rFonts w:ascii="方正书宋_GBK" w:eastAsia="方正书宋_GBK"/>
              </w:rPr>
            </w:pPr>
            <w:r>
              <w:rPr>
                <w:rFonts w:ascii="方正书宋_GBK" w:eastAsia="方正书宋_GBK"/>
              </w:rPr>
              <w:t>000-9999-JSN-V4VD</w:t>
            </w:r>
          </w:p>
        </w:tc>
        <w:tc>
          <w:tcPr>
            <w:tcW w:w="1587" w:type="dxa"/>
            <w:shd w:val="clear" w:color="auto" w:fill="auto"/>
            <w:vAlign w:val="center"/>
          </w:tcPr>
          <w:p w14:paraId="1F02534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AC88AD3">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年工程项目质保金</w:t>
            </w:r>
          </w:p>
        </w:tc>
      </w:tr>
      <w:tr w14:paraId="60FB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D0708D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C892C0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DCDE999">
            <w:pPr>
              <w:spacing w:line="300" w:lineRule="exact"/>
              <w:jc w:val="left"/>
              <w:rPr>
                <w:rFonts w:ascii="方正书宋_GBK" w:eastAsia="方正书宋_GBK"/>
              </w:rPr>
            </w:pPr>
            <w:r>
              <w:rPr>
                <w:rFonts w:ascii="方正书宋_GBK" w:eastAsia="方正书宋_GBK"/>
              </w:rPr>
              <w:t>6.41</w:t>
            </w:r>
          </w:p>
        </w:tc>
        <w:tc>
          <w:tcPr>
            <w:tcW w:w="1587" w:type="dxa"/>
            <w:shd w:val="clear" w:color="auto" w:fill="auto"/>
            <w:vAlign w:val="center"/>
          </w:tcPr>
          <w:p w14:paraId="7E5B9C5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6114EDF">
            <w:pPr>
              <w:spacing w:line="300" w:lineRule="exact"/>
              <w:jc w:val="left"/>
              <w:rPr>
                <w:rFonts w:ascii="方正书宋_GBK" w:eastAsia="方正书宋_GBK"/>
              </w:rPr>
            </w:pPr>
            <w:r>
              <w:rPr>
                <w:rFonts w:ascii="方正书宋_GBK" w:eastAsia="方正书宋_GBK"/>
              </w:rPr>
              <w:t>6.41</w:t>
            </w:r>
          </w:p>
        </w:tc>
        <w:tc>
          <w:tcPr>
            <w:tcW w:w="1276" w:type="dxa"/>
            <w:shd w:val="clear" w:color="auto" w:fill="auto"/>
            <w:vAlign w:val="center"/>
          </w:tcPr>
          <w:p w14:paraId="65E6A5F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0DA9A41">
            <w:pPr>
              <w:spacing w:line="300" w:lineRule="exact"/>
              <w:jc w:val="left"/>
              <w:rPr>
                <w:rFonts w:ascii="方正书宋_GBK" w:eastAsia="方正书宋_GBK"/>
              </w:rPr>
            </w:pPr>
          </w:p>
        </w:tc>
      </w:tr>
      <w:tr w14:paraId="0C08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9FF0CA">
            <w:pPr>
              <w:spacing w:line="300" w:lineRule="exact"/>
              <w:jc w:val="left"/>
              <w:outlineLvl w:val="1"/>
            </w:pPr>
          </w:p>
        </w:tc>
        <w:tc>
          <w:tcPr>
            <w:tcW w:w="8278" w:type="dxa"/>
            <w:gridSpan w:val="6"/>
            <w:shd w:val="clear" w:color="auto" w:fill="auto"/>
            <w:vAlign w:val="center"/>
          </w:tcPr>
          <w:p w14:paraId="6F2E0C4A">
            <w:pPr>
              <w:spacing w:line="300" w:lineRule="exact"/>
              <w:jc w:val="left"/>
              <w:rPr>
                <w:rFonts w:ascii="方正书宋_GBK" w:eastAsia="方正书宋_GBK"/>
              </w:rPr>
            </w:pPr>
            <w:r>
              <w:rPr>
                <w:rFonts w:hint="eastAsia" w:ascii="方正书宋_GBK" w:eastAsia="方正书宋_GBK"/>
              </w:rPr>
              <w:t>《石家庄市鹿泉区人民法院信息化建设项目》质保金</w:t>
            </w:r>
            <w:r>
              <w:rPr>
                <w:rFonts w:ascii="方正书宋_GBK" w:eastAsia="方正书宋_GBK"/>
              </w:rPr>
              <w:t>6.41</w:t>
            </w:r>
            <w:r>
              <w:rPr>
                <w:rFonts w:hint="eastAsia" w:ascii="方正书宋_GBK" w:eastAsia="方正书宋_GBK"/>
              </w:rPr>
              <w:t>万元。质保金是需要建设的单位和承包人，在建设工程承包合同中的约定，在这项建筑工程竣工验收完，交付使用之后，从应付建设工程款里面，预留出一定的金额，用来作为维修建筑工程，在保修期限之内以及保修范围内出现的质量缺陷，目的是主要担保竣工验收完成以后，保修期限内出现的质量问题。</w:t>
            </w:r>
          </w:p>
        </w:tc>
      </w:tr>
      <w:tr w14:paraId="2801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270EA8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898A51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E0D7A2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2E3F7C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2F075A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C5E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29B0B2">
            <w:pPr>
              <w:spacing w:line="300" w:lineRule="exact"/>
              <w:jc w:val="left"/>
              <w:outlineLvl w:val="1"/>
            </w:pPr>
          </w:p>
        </w:tc>
        <w:tc>
          <w:tcPr>
            <w:tcW w:w="2410" w:type="dxa"/>
            <w:gridSpan w:val="2"/>
            <w:tcBorders>
              <w:bottom w:val="single" w:color="000000" w:sz="6" w:space="0"/>
            </w:tcBorders>
            <w:shd w:val="clear" w:color="auto" w:fill="auto"/>
            <w:vAlign w:val="center"/>
          </w:tcPr>
          <w:p w14:paraId="7038113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3F890D8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D8F4AAA">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5067613">
            <w:pPr>
              <w:spacing w:line="300" w:lineRule="exact"/>
              <w:jc w:val="center"/>
              <w:rPr>
                <w:rFonts w:ascii="方正书宋_GBK" w:eastAsia="方正书宋_GBK"/>
              </w:rPr>
            </w:pPr>
            <w:r>
              <w:rPr>
                <w:rFonts w:ascii="方正书宋_GBK" w:eastAsia="方正书宋_GBK"/>
              </w:rPr>
              <w:t>100.00</w:t>
            </w:r>
          </w:p>
        </w:tc>
      </w:tr>
      <w:tr w14:paraId="5E862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391606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E29D29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、按时支付质保金，确保承包人根据建设单位的要求，在建设工程承包合同履行前，交付给建设单位</w:t>
            </w:r>
          </w:p>
          <w:p w14:paraId="14F5F13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、用以施工质量出现的质量缺陷资金，保证承包人在缺陷责任期内对建设工程出现的缺陷进行修复。</w:t>
            </w:r>
          </w:p>
        </w:tc>
      </w:tr>
    </w:tbl>
    <w:p w14:paraId="64BCD1EB">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BF9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737DDA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CFD82D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AF618D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8AA1C0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7A3475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508EECA">
            <w:pPr>
              <w:spacing w:line="300" w:lineRule="exact"/>
              <w:jc w:val="center"/>
              <w:rPr>
                <w:rFonts w:ascii="方正书宋_GBK" w:eastAsia="方正书宋_GBK"/>
                <w:b/>
              </w:rPr>
            </w:pPr>
            <w:r>
              <w:rPr>
                <w:rFonts w:hint="eastAsia" w:ascii="方正书宋_GBK" w:eastAsia="方正书宋_GBK"/>
                <w:b/>
              </w:rPr>
              <w:t>指标值确定依据</w:t>
            </w:r>
          </w:p>
        </w:tc>
      </w:tr>
      <w:tr w14:paraId="19BD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32B453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598E15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87B7515">
            <w:pPr>
              <w:spacing w:line="300" w:lineRule="exact"/>
              <w:jc w:val="left"/>
              <w:rPr>
                <w:rFonts w:ascii="方正书宋_GBK" w:eastAsia="方正书宋_GBK"/>
              </w:rPr>
            </w:pPr>
            <w:r>
              <w:rPr>
                <w:rFonts w:hint="eastAsia" w:ascii="方正书宋_GBK" w:eastAsia="方正书宋_GBK"/>
              </w:rPr>
              <w:t>工程按期完成率（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009F3227">
            <w:pPr>
              <w:spacing w:line="300" w:lineRule="exact"/>
              <w:jc w:val="left"/>
              <w:rPr>
                <w:rFonts w:ascii="方正书宋_GBK" w:eastAsia="方正书宋_GBK"/>
              </w:rPr>
            </w:pPr>
            <w:r>
              <w:rPr>
                <w:rFonts w:hint="eastAsia" w:ascii="方正书宋_GBK" w:eastAsia="方正书宋_GBK"/>
              </w:rPr>
              <w:t>按期完成的工程量占总工程量的比率</w:t>
            </w:r>
          </w:p>
        </w:tc>
        <w:tc>
          <w:tcPr>
            <w:tcW w:w="1276" w:type="dxa"/>
            <w:shd w:val="clear" w:color="auto" w:fill="auto"/>
            <w:vAlign w:val="center"/>
          </w:tcPr>
          <w:p w14:paraId="69837D77">
            <w:pPr>
              <w:spacing w:line="300" w:lineRule="exact"/>
              <w:jc w:val="left"/>
              <w:rPr>
                <w:rFonts w:ascii="方正书宋_GBK" w:eastAsia="方正书宋_GBK"/>
              </w:rPr>
            </w:pPr>
            <w:r>
              <w:rPr>
                <w:rFonts w:ascii="方正书宋_GBK" w:eastAsia="方正书宋_GBK"/>
              </w:rPr>
              <w:t>1100%</w:t>
            </w:r>
          </w:p>
        </w:tc>
        <w:tc>
          <w:tcPr>
            <w:tcW w:w="1701" w:type="dxa"/>
            <w:shd w:val="clear" w:color="auto" w:fill="auto"/>
            <w:vAlign w:val="center"/>
          </w:tcPr>
          <w:p w14:paraId="322A0A3B">
            <w:pPr>
              <w:spacing w:line="300" w:lineRule="exact"/>
              <w:jc w:val="left"/>
              <w:rPr>
                <w:rFonts w:ascii="方正书宋_GBK" w:eastAsia="方正书宋_GBK"/>
              </w:rPr>
            </w:pPr>
            <w:r>
              <w:rPr>
                <w:rFonts w:hint="eastAsia" w:ascii="方正书宋_GBK" w:eastAsia="方正书宋_GBK"/>
              </w:rPr>
              <w:t>工作计划</w:t>
            </w:r>
          </w:p>
        </w:tc>
      </w:tr>
      <w:tr w14:paraId="77D7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589BCCC">
            <w:pPr>
              <w:spacing w:line="300" w:lineRule="exact"/>
              <w:jc w:val="center"/>
              <w:rPr>
                <w:rFonts w:hint="eastAsia" w:ascii="方正书宋_GBK" w:eastAsia="方正书宋_GBK"/>
              </w:rPr>
            </w:pPr>
          </w:p>
        </w:tc>
        <w:tc>
          <w:tcPr>
            <w:tcW w:w="1134" w:type="dxa"/>
            <w:shd w:val="clear" w:color="auto" w:fill="auto"/>
            <w:vAlign w:val="center"/>
          </w:tcPr>
          <w:p w14:paraId="2319820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C273B7C">
            <w:pPr>
              <w:spacing w:line="300" w:lineRule="exact"/>
              <w:jc w:val="left"/>
              <w:rPr>
                <w:rFonts w:hint="eastAsia" w:ascii="方正书宋_GBK" w:eastAsia="方正书宋_GBK"/>
              </w:rPr>
            </w:pPr>
            <w:r>
              <w:rPr>
                <w:rFonts w:hint="eastAsia" w:ascii="方正书宋_GBK" w:eastAsia="方正书宋_GBK"/>
              </w:rPr>
              <w:t>工程验收合格率（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51F0C15A">
            <w:pPr>
              <w:spacing w:line="300" w:lineRule="exact"/>
              <w:jc w:val="left"/>
              <w:rPr>
                <w:rFonts w:ascii="方正书宋_GBK" w:eastAsia="方正书宋_GBK"/>
              </w:rPr>
            </w:pPr>
            <w:r>
              <w:rPr>
                <w:rFonts w:hint="eastAsia" w:ascii="方正书宋_GBK" w:eastAsia="方正书宋_GBK"/>
              </w:rPr>
              <w:t>通过验收的工程量占建设、改造、修缮总量的比率</w:t>
            </w:r>
          </w:p>
        </w:tc>
        <w:tc>
          <w:tcPr>
            <w:tcW w:w="1276" w:type="dxa"/>
            <w:shd w:val="clear" w:color="auto" w:fill="auto"/>
            <w:vAlign w:val="center"/>
          </w:tcPr>
          <w:p w14:paraId="1C2F7B83">
            <w:pPr>
              <w:spacing w:line="300" w:lineRule="exact"/>
              <w:jc w:val="left"/>
              <w:rPr>
                <w:rFonts w:ascii="方正书宋_GBK" w:eastAsia="方正书宋_GBK"/>
              </w:rPr>
            </w:pPr>
            <w:r>
              <w:rPr>
                <w:rFonts w:ascii="方正书宋_GBK" w:eastAsia="方正书宋_GBK"/>
              </w:rPr>
              <w:t>1100%</w:t>
            </w:r>
          </w:p>
        </w:tc>
        <w:tc>
          <w:tcPr>
            <w:tcW w:w="1701" w:type="dxa"/>
            <w:shd w:val="clear" w:color="auto" w:fill="auto"/>
            <w:vAlign w:val="center"/>
          </w:tcPr>
          <w:p w14:paraId="28C529C8">
            <w:pPr>
              <w:spacing w:line="300" w:lineRule="exact"/>
              <w:jc w:val="left"/>
              <w:rPr>
                <w:rFonts w:hint="eastAsia" w:ascii="方正书宋_GBK" w:eastAsia="方正书宋_GBK"/>
              </w:rPr>
            </w:pPr>
            <w:r>
              <w:rPr>
                <w:rFonts w:hint="eastAsia" w:ascii="方正书宋_GBK" w:eastAsia="方正书宋_GBK"/>
              </w:rPr>
              <w:t>工作计划</w:t>
            </w:r>
          </w:p>
        </w:tc>
      </w:tr>
      <w:tr w14:paraId="4ACF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67411F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93FED7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EBE6767">
            <w:pPr>
              <w:spacing w:line="300" w:lineRule="exact"/>
              <w:jc w:val="left"/>
              <w:rPr>
                <w:rFonts w:hint="eastAsia" w:ascii="方正书宋_GBK" w:eastAsia="方正书宋_GBK"/>
              </w:rPr>
            </w:pPr>
            <w:r>
              <w:rPr>
                <w:rFonts w:hint="eastAsia" w:ascii="方正书宋_GBK" w:eastAsia="方正书宋_GBK"/>
              </w:rPr>
              <w:t>质保金支付率（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036A5AD2">
            <w:pPr>
              <w:spacing w:line="300" w:lineRule="exact"/>
              <w:jc w:val="left"/>
              <w:rPr>
                <w:rFonts w:ascii="方正书宋_GBK" w:eastAsia="方正书宋_GBK"/>
              </w:rPr>
            </w:pPr>
            <w:r>
              <w:rPr>
                <w:rFonts w:hint="eastAsia" w:ascii="方正书宋_GBK" w:eastAsia="方正书宋_GBK"/>
              </w:rPr>
              <w:t>已支付的质保金数量占质保金总数量的比率</w:t>
            </w:r>
          </w:p>
        </w:tc>
        <w:tc>
          <w:tcPr>
            <w:tcW w:w="1276" w:type="dxa"/>
            <w:shd w:val="clear" w:color="auto" w:fill="auto"/>
            <w:vAlign w:val="center"/>
          </w:tcPr>
          <w:p w14:paraId="32F66031">
            <w:pPr>
              <w:spacing w:line="300" w:lineRule="exact"/>
              <w:jc w:val="left"/>
              <w:rPr>
                <w:rFonts w:ascii="方正书宋_GBK" w:eastAsia="方正书宋_GBK"/>
              </w:rPr>
            </w:pPr>
            <w:r>
              <w:rPr>
                <w:rFonts w:ascii="方正书宋_GBK" w:eastAsia="方正书宋_GBK"/>
              </w:rPr>
              <w:t>1100%</w:t>
            </w:r>
          </w:p>
        </w:tc>
        <w:tc>
          <w:tcPr>
            <w:tcW w:w="1701" w:type="dxa"/>
            <w:shd w:val="clear" w:color="auto" w:fill="auto"/>
            <w:vAlign w:val="center"/>
          </w:tcPr>
          <w:p w14:paraId="355CBD8D">
            <w:pPr>
              <w:spacing w:line="300" w:lineRule="exact"/>
              <w:jc w:val="left"/>
              <w:rPr>
                <w:rFonts w:hint="eastAsia" w:ascii="方正书宋_GBK" w:eastAsia="方正书宋_GBK"/>
              </w:rPr>
            </w:pPr>
            <w:r>
              <w:rPr>
                <w:rFonts w:hint="eastAsia" w:ascii="方正书宋_GBK" w:eastAsia="方正书宋_GBK"/>
              </w:rPr>
              <w:t>工作计划</w:t>
            </w:r>
          </w:p>
        </w:tc>
      </w:tr>
      <w:tr w14:paraId="1453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C98CD8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77685C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559401F">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EB83CDF">
            <w:pPr>
              <w:spacing w:line="300" w:lineRule="exact"/>
              <w:jc w:val="left"/>
              <w:rPr>
                <w:rFonts w:ascii="方正书宋_GBK" w:eastAsia="方正书宋_GBK"/>
              </w:rPr>
            </w:pPr>
            <w:r>
              <w:rPr>
                <w:rFonts w:hint="eastAsia" w:ascii="方正书宋_GBK" w:eastAsia="方正书宋_GBK"/>
              </w:rPr>
              <w:t>接受服务的重点人群对所提供服务的满意程度</w:t>
            </w:r>
          </w:p>
        </w:tc>
        <w:tc>
          <w:tcPr>
            <w:tcW w:w="1276" w:type="dxa"/>
            <w:shd w:val="clear" w:color="auto" w:fill="auto"/>
            <w:vAlign w:val="center"/>
          </w:tcPr>
          <w:p w14:paraId="413DD9B9">
            <w:pPr>
              <w:spacing w:line="300" w:lineRule="exact"/>
              <w:jc w:val="left"/>
              <w:rPr>
                <w:rFonts w:ascii="方正书宋_GBK" w:eastAsia="方正书宋_GBK"/>
              </w:rPr>
            </w:pPr>
            <w:r>
              <w:rPr>
                <w:rFonts w:ascii="方正书宋_GBK" w:eastAsia="方正书宋_GBK"/>
              </w:rPr>
              <w:t>0100%</w:t>
            </w:r>
          </w:p>
        </w:tc>
        <w:tc>
          <w:tcPr>
            <w:tcW w:w="1701" w:type="dxa"/>
            <w:shd w:val="clear" w:color="auto" w:fill="auto"/>
            <w:vAlign w:val="center"/>
          </w:tcPr>
          <w:p w14:paraId="3CD5D973">
            <w:pPr>
              <w:spacing w:line="300" w:lineRule="exact"/>
              <w:jc w:val="left"/>
              <w:rPr>
                <w:rFonts w:hint="eastAsia" w:ascii="方正书宋_GBK" w:eastAsia="方正书宋_GBK"/>
              </w:rPr>
            </w:pPr>
            <w:r>
              <w:rPr>
                <w:rFonts w:hint="eastAsia" w:ascii="方正书宋_GBK" w:eastAsia="方正书宋_GBK"/>
              </w:rPr>
              <w:t>工作计划</w:t>
            </w:r>
          </w:p>
        </w:tc>
      </w:tr>
    </w:tbl>
    <w:p w14:paraId="42C41C7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3B65549">
      <w:pPr>
        <w:spacing w:line="300" w:lineRule="exact"/>
        <w:ind w:firstLine="420" w:firstLineChars="200"/>
        <w:jc w:val="left"/>
      </w:pPr>
    </w:p>
    <w:p w14:paraId="3B94F97B">
      <w:pPr>
        <w:ind w:firstLine="562" w:firstLineChars="200"/>
        <w:jc w:val="left"/>
        <w:outlineLvl w:val="1"/>
        <w:rPr>
          <w:rFonts w:ascii="Times New Roman" w:hAnsi="宋体"/>
          <w:b/>
          <w:sz w:val="28"/>
        </w:rPr>
      </w:pPr>
      <w:r>
        <w:rPr>
          <w:rFonts w:hint="eastAsia" w:ascii="方正仿宋_GBK" w:eastAsia="方正仿宋_GBK"/>
          <w:b/>
          <w:sz w:val="28"/>
        </w:rPr>
        <w:t>2、法院信息化网络安全建设绩效目标表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497513"/>
      <w:r>
        <w:rPr>
          <w:rFonts w:hint="eastAsia" w:ascii="方正仿宋_GBK" w:eastAsia="方正仿宋_GBK"/>
          <w:b/>
          <w:sz w:val="28"/>
        </w:rPr>
        <w:instrText xml:space="preserve">2、法院信息化网络安全建设绩效目标表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F3A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83DEB3D">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4159061">
            <w:pPr>
              <w:spacing w:line="300" w:lineRule="exact"/>
              <w:jc w:val="right"/>
              <w:rPr>
                <w:rFonts w:ascii="方正书宋_GBK" w:eastAsia="方正书宋_GBK"/>
              </w:rPr>
            </w:pPr>
            <w:r>
              <w:rPr>
                <w:rFonts w:hint="eastAsia" w:ascii="方正书宋_GBK" w:eastAsia="方正书宋_GBK"/>
              </w:rPr>
              <w:t>单位：万元</w:t>
            </w:r>
          </w:p>
        </w:tc>
      </w:tr>
      <w:tr w14:paraId="19F9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FE1E2D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58624AD">
            <w:pPr>
              <w:spacing w:line="300" w:lineRule="exact"/>
              <w:jc w:val="left"/>
              <w:rPr>
                <w:rFonts w:ascii="方正书宋_GBK" w:eastAsia="方正书宋_GBK"/>
              </w:rPr>
            </w:pPr>
            <w:r>
              <w:rPr>
                <w:rFonts w:ascii="方正书宋_GBK" w:eastAsia="方正书宋_GBK"/>
              </w:rPr>
              <w:t>000-9999-JSN-648X</w:t>
            </w:r>
          </w:p>
        </w:tc>
        <w:tc>
          <w:tcPr>
            <w:tcW w:w="1587" w:type="dxa"/>
            <w:shd w:val="clear" w:color="auto" w:fill="auto"/>
            <w:vAlign w:val="center"/>
          </w:tcPr>
          <w:p w14:paraId="6DD1437F">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52EEEAB6">
            <w:pPr>
              <w:spacing w:line="300" w:lineRule="exact"/>
              <w:jc w:val="left"/>
              <w:rPr>
                <w:rFonts w:ascii="方正书宋_GBK" w:eastAsia="方正书宋_GBK"/>
              </w:rPr>
            </w:pPr>
            <w:r>
              <w:rPr>
                <w:rFonts w:hint="eastAsia" w:ascii="方正书宋_GBK" w:eastAsia="方正书宋_GBK"/>
              </w:rPr>
              <w:t>法院信息化网络安全建设</w:t>
            </w:r>
          </w:p>
        </w:tc>
      </w:tr>
      <w:tr w14:paraId="41E0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8475B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5E81DD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8774CEC">
            <w:pPr>
              <w:spacing w:line="300" w:lineRule="exact"/>
              <w:jc w:val="left"/>
              <w:rPr>
                <w:rFonts w:ascii="方正书宋_GBK" w:eastAsia="方正书宋_GBK"/>
              </w:rPr>
            </w:pPr>
            <w:r>
              <w:rPr>
                <w:rFonts w:ascii="方正书宋_GBK" w:eastAsia="方正书宋_GBK"/>
              </w:rPr>
              <w:t>70.00</w:t>
            </w:r>
          </w:p>
        </w:tc>
        <w:tc>
          <w:tcPr>
            <w:tcW w:w="1587" w:type="dxa"/>
            <w:shd w:val="clear" w:color="auto" w:fill="auto"/>
            <w:vAlign w:val="center"/>
          </w:tcPr>
          <w:p w14:paraId="105C8DA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6BEC6DE">
            <w:pPr>
              <w:spacing w:line="300" w:lineRule="exact"/>
              <w:jc w:val="left"/>
              <w:rPr>
                <w:rFonts w:ascii="方正书宋_GBK" w:eastAsia="方正书宋_GBK"/>
              </w:rPr>
            </w:pPr>
            <w:r>
              <w:rPr>
                <w:rFonts w:ascii="方正书宋_GBK" w:eastAsia="方正书宋_GBK"/>
              </w:rPr>
              <w:t>70.00</w:t>
            </w:r>
          </w:p>
        </w:tc>
        <w:tc>
          <w:tcPr>
            <w:tcW w:w="1276" w:type="dxa"/>
            <w:shd w:val="clear" w:color="auto" w:fill="auto"/>
            <w:vAlign w:val="center"/>
          </w:tcPr>
          <w:p w14:paraId="7443610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14BEF9B">
            <w:pPr>
              <w:spacing w:line="300" w:lineRule="exact"/>
              <w:jc w:val="left"/>
              <w:rPr>
                <w:rFonts w:ascii="方正书宋_GBK" w:eastAsia="方正书宋_GBK"/>
              </w:rPr>
            </w:pPr>
          </w:p>
        </w:tc>
      </w:tr>
      <w:tr w14:paraId="669E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0C220E7">
            <w:pPr>
              <w:spacing w:line="300" w:lineRule="exact"/>
              <w:jc w:val="left"/>
              <w:outlineLvl w:val="1"/>
            </w:pPr>
          </w:p>
        </w:tc>
        <w:tc>
          <w:tcPr>
            <w:tcW w:w="8278" w:type="dxa"/>
            <w:gridSpan w:val="6"/>
            <w:shd w:val="clear" w:color="auto" w:fill="auto"/>
            <w:vAlign w:val="center"/>
          </w:tcPr>
          <w:p w14:paraId="5D34FE3A">
            <w:pPr>
              <w:spacing w:line="300" w:lineRule="exact"/>
              <w:jc w:val="left"/>
              <w:rPr>
                <w:rFonts w:ascii="方正书宋_GBK" w:eastAsia="方正书宋_GBK"/>
              </w:rPr>
            </w:pPr>
            <w:r>
              <w:rPr>
                <w:rFonts w:hint="eastAsia" w:ascii="方正书宋_GBK" w:eastAsia="方正书宋_GBK"/>
              </w:rPr>
              <w:t>确保我院庭审直播公开实现信息化直播，案件归档，庭审录像等法院信息化网络安全建设，全进直观反映法院司法公开。</w:t>
            </w:r>
          </w:p>
        </w:tc>
      </w:tr>
      <w:tr w14:paraId="4DC76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6D78E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9466C2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718347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987208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BA94F0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614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255CE56">
            <w:pPr>
              <w:spacing w:line="300" w:lineRule="exact"/>
              <w:jc w:val="left"/>
              <w:outlineLvl w:val="1"/>
            </w:pPr>
          </w:p>
        </w:tc>
        <w:tc>
          <w:tcPr>
            <w:tcW w:w="2410" w:type="dxa"/>
            <w:gridSpan w:val="2"/>
            <w:tcBorders>
              <w:bottom w:val="single" w:color="000000" w:sz="6" w:space="0"/>
            </w:tcBorders>
            <w:shd w:val="clear" w:color="auto" w:fill="auto"/>
            <w:vAlign w:val="center"/>
          </w:tcPr>
          <w:p w14:paraId="1A375A17">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5C78B652">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2C195750">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7E60B82">
            <w:pPr>
              <w:spacing w:line="300" w:lineRule="exact"/>
              <w:jc w:val="center"/>
              <w:rPr>
                <w:rFonts w:ascii="方正书宋_GBK" w:eastAsia="方正书宋_GBK"/>
              </w:rPr>
            </w:pPr>
            <w:r>
              <w:rPr>
                <w:rFonts w:ascii="方正书宋_GBK" w:eastAsia="方正书宋_GBK"/>
              </w:rPr>
              <w:t>100.00</w:t>
            </w:r>
          </w:p>
        </w:tc>
      </w:tr>
      <w:tr w14:paraId="4C07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937791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BA22F5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、确保我院庭审直播公开实现信息化直播率达到</w:t>
            </w:r>
            <w:r>
              <w:rPr>
                <w:rFonts w:ascii="方正书宋_GBK" w:eastAsia="方正书宋_GBK"/>
              </w:rPr>
              <w:t>100%</w:t>
            </w:r>
            <w:r>
              <w:rPr>
                <w:rFonts w:hint="eastAsia" w:ascii="方正书宋_GBK" w:eastAsia="方正书宋_GBK"/>
              </w:rPr>
              <w:t>，案件归档率</w:t>
            </w:r>
            <w:r>
              <w:rPr>
                <w:rFonts w:ascii="方正书宋_GBK" w:eastAsia="方正书宋_GBK"/>
              </w:rPr>
              <w:t>100%</w:t>
            </w:r>
            <w:r>
              <w:rPr>
                <w:rFonts w:hint="eastAsia" w:ascii="方正书宋_GBK" w:eastAsia="方正书宋_GBK"/>
              </w:rPr>
              <w:t>庭审录像率</w:t>
            </w:r>
            <w:r>
              <w:rPr>
                <w:rFonts w:ascii="方正书宋_GBK" w:eastAsia="方正书宋_GBK"/>
              </w:rPr>
              <w:t>100%</w:t>
            </w:r>
            <w:r>
              <w:rPr>
                <w:rFonts w:hint="eastAsia" w:ascii="方正书宋_GBK" w:eastAsia="方正书宋_GBK"/>
              </w:rPr>
              <w:t>全面直观反映法院司法公开</w:t>
            </w:r>
          </w:p>
          <w:p w14:paraId="08A308D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、购买软硬件设备</w:t>
            </w:r>
            <w:r>
              <w:rPr>
                <w:rFonts w:ascii="方正书宋_GBK" w:eastAsia="方正书宋_GBK"/>
              </w:rPr>
              <w:t>7</w:t>
            </w:r>
            <w:r>
              <w:rPr>
                <w:rFonts w:hint="eastAsia" w:ascii="方正书宋_GBK" w:eastAsia="方正书宋_GBK"/>
              </w:rPr>
              <w:t>个</w:t>
            </w:r>
          </w:p>
        </w:tc>
      </w:tr>
    </w:tbl>
    <w:p w14:paraId="3055576B">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58F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F51959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479E25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ECD749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844A87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449C02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B004958">
            <w:pPr>
              <w:spacing w:line="300" w:lineRule="exact"/>
              <w:jc w:val="center"/>
              <w:rPr>
                <w:rFonts w:ascii="方正书宋_GBK" w:eastAsia="方正书宋_GBK"/>
                <w:b/>
              </w:rPr>
            </w:pPr>
            <w:r>
              <w:rPr>
                <w:rFonts w:hint="eastAsia" w:ascii="方正书宋_GBK" w:eastAsia="方正书宋_GBK"/>
                <w:b/>
              </w:rPr>
              <w:t>指标值确定依据</w:t>
            </w:r>
          </w:p>
        </w:tc>
      </w:tr>
      <w:tr w14:paraId="5CC2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0CF66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9B6C18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EC53342">
            <w:pPr>
              <w:spacing w:line="300" w:lineRule="exact"/>
              <w:jc w:val="left"/>
              <w:rPr>
                <w:rFonts w:ascii="方正书宋_GBK" w:eastAsia="方正书宋_GBK"/>
              </w:rPr>
            </w:pPr>
            <w:r>
              <w:rPr>
                <w:rFonts w:hint="eastAsia" w:ascii="方正书宋_GBK" w:eastAsia="方正书宋_GBK"/>
              </w:rPr>
              <w:t>信息化直播率</w:t>
            </w:r>
          </w:p>
        </w:tc>
        <w:tc>
          <w:tcPr>
            <w:tcW w:w="2891" w:type="dxa"/>
            <w:shd w:val="clear" w:color="auto" w:fill="auto"/>
            <w:vAlign w:val="center"/>
          </w:tcPr>
          <w:p w14:paraId="13BD40FA">
            <w:pPr>
              <w:spacing w:line="300" w:lineRule="exact"/>
              <w:jc w:val="left"/>
              <w:rPr>
                <w:rFonts w:ascii="方正书宋_GBK" w:eastAsia="方正书宋_GBK"/>
              </w:rPr>
            </w:pPr>
            <w:r>
              <w:rPr>
                <w:rFonts w:hint="eastAsia" w:ascii="方正书宋_GBK" w:eastAsia="方正书宋_GBK"/>
              </w:rPr>
              <w:t>庭审直播公开实现信息化直播率占总庭审数量的比率</w:t>
            </w:r>
          </w:p>
        </w:tc>
        <w:tc>
          <w:tcPr>
            <w:tcW w:w="1276" w:type="dxa"/>
            <w:shd w:val="clear" w:color="auto" w:fill="auto"/>
            <w:vAlign w:val="center"/>
          </w:tcPr>
          <w:p w14:paraId="074A7DC1">
            <w:pPr>
              <w:spacing w:line="300" w:lineRule="exact"/>
              <w:jc w:val="left"/>
              <w:rPr>
                <w:rFonts w:ascii="方正书宋_GBK" w:eastAsia="方正书宋_GBK"/>
              </w:rPr>
            </w:pPr>
            <w:r>
              <w:rPr>
                <w:rFonts w:ascii="方正书宋_GBK" w:eastAsia="方正书宋_GBK"/>
              </w:rPr>
              <w:t>1100%</w:t>
            </w:r>
          </w:p>
        </w:tc>
        <w:tc>
          <w:tcPr>
            <w:tcW w:w="1701" w:type="dxa"/>
            <w:shd w:val="clear" w:color="auto" w:fill="auto"/>
            <w:vAlign w:val="center"/>
          </w:tcPr>
          <w:p w14:paraId="0475BCC0">
            <w:pPr>
              <w:spacing w:line="300" w:lineRule="exact"/>
              <w:jc w:val="left"/>
              <w:rPr>
                <w:rFonts w:ascii="方正书宋_GBK" w:eastAsia="方正书宋_GBK"/>
              </w:rPr>
            </w:pPr>
            <w:r>
              <w:rPr>
                <w:rFonts w:hint="eastAsia" w:ascii="方正书宋_GBK" w:eastAsia="方正书宋_GBK"/>
              </w:rPr>
              <w:t>历史数据</w:t>
            </w:r>
          </w:p>
        </w:tc>
      </w:tr>
      <w:tr w14:paraId="5A6D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3D2A804">
            <w:pPr>
              <w:spacing w:line="300" w:lineRule="exact"/>
              <w:jc w:val="center"/>
              <w:rPr>
                <w:rFonts w:hint="eastAsia" w:ascii="方正书宋_GBK" w:eastAsia="方正书宋_GBK"/>
              </w:rPr>
            </w:pPr>
          </w:p>
        </w:tc>
        <w:tc>
          <w:tcPr>
            <w:tcW w:w="1134" w:type="dxa"/>
            <w:shd w:val="clear" w:color="auto" w:fill="auto"/>
            <w:vAlign w:val="center"/>
          </w:tcPr>
          <w:p w14:paraId="67ABFDB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DD51D36">
            <w:pPr>
              <w:spacing w:line="300" w:lineRule="exact"/>
              <w:jc w:val="left"/>
              <w:rPr>
                <w:rFonts w:hint="eastAsia" w:ascii="方正书宋_GBK" w:eastAsia="方正书宋_GBK"/>
              </w:rPr>
            </w:pPr>
            <w:r>
              <w:rPr>
                <w:rFonts w:hint="eastAsia" w:ascii="方正书宋_GBK" w:eastAsia="方正书宋_GBK"/>
              </w:rPr>
              <w:t>软硬件设备购买</w:t>
            </w:r>
          </w:p>
        </w:tc>
        <w:tc>
          <w:tcPr>
            <w:tcW w:w="2891" w:type="dxa"/>
            <w:shd w:val="clear" w:color="auto" w:fill="auto"/>
            <w:vAlign w:val="center"/>
          </w:tcPr>
          <w:p w14:paraId="131223E3">
            <w:pPr>
              <w:spacing w:line="300" w:lineRule="exact"/>
              <w:jc w:val="left"/>
              <w:rPr>
                <w:rFonts w:ascii="方正书宋_GBK" w:eastAsia="方正书宋_GBK"/>
              </w:rPr>
            </w:pPr>
            <w:r>
              <w:rPr>
                <w:rFonts w:hint="eastAsia" w:ascii="方正书宋_GBK" w:eastAsia="方正书宋_GBK"/>
              </w:rPr>
              <w:t>购买软硬件设备的数量</w:t>
            </w:r>
          </w:p>
        </w:tc>
        <w:tc>
          <w:tcPr>
            <w:tcW w:w="1276" w:type="dxa"/>
            <w:shd w:val="clear" w:color="auto" w:fill="auto"/>
            <w:vAlign w:val="center"/>
          </w:tcPr>
          <w:p w14:paraId="1473CBF3">
            <w:pPr>
              <w:spacing w:line="300" w:lineRule="exact"/>
              <w:jc w:val="left"/>
              <w:rPr>
                <w:rFonts w:ascii="方正书宋_GBK" w:eastAsia="方正书宋_GBK"/>
              </w:rPr>
            </w:pPr>
            <w:r>
              <w:rPr>
                <w:rFonts w:ascii="方正书宋_GBK" w:eastAsia="方正书宋_GBK"/>
              </w:rPr>
              <w:t>17</w:t>
            </w:r>
          </w:p>
        </w:tc>
        <w:tc>
          <w:tcPr>
            <w:tcW w:w="1701" w:type="dxa"/>
            <w:shd w:val="clear" w:color="auto" w:fill="auto"/>
            <w:vAlign w:val="center"/>
          </w:tcPr>
          <w:p w14:paraId="1CFB180C">
            <w:pPr>
              <w:spacing w:line="300" w:lineRule="exact"/>
              <w:jc w:val="left"/>
              <w:rPr>
                <w:rFonts w:hint="eastAsia" w:ascii="方正书宋_GBK" w:eastAsia="方正书宋_GBK"/>
              </w:rPr>
            </w:pPr>
            <w:r>
              <w:rPr>
                <w:rFonts w:hint="eastAsia" w:ascii="方正书宋_GBK" w:eastAsia="方正书宋_GBK"/>
              </w:rPr>
              <w:t>工作计划</w:t>
            </w:r>
          </w:p>
        </w:tc>
      </w:tr>
      <w:tr w14:paraId="6B90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602D3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A562C6A">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287843F2">
            <w:pPr>
              <w:spacing w:line="300" w:lineRule="exact"/>
              <w:jc w:val="left"/>
              <w:rPr>
                <w:rFonts w:hint="eastAsia" w:ascii="方正书宋_GBK" w:eastAsia="方正书宋_GBK"/>
              </w:rPr>
            </w:pPr>
            <w:r>
              <w:rPr>
                <w:rFonts w:hint="eastAsia" w:ascii="方正书宋_GBK" w:eastAsia="方正书宋_GBK"/>
              </w:rPr>
              <w:t>信息化直播的影响</w:t>
            </w:r>
          </w:p>
        </w:tc>
        <w:tc>
          <w:tcPr>
            <w:tcW w:w="2891" w:type="dxa"/>
            <w:shd w:val="clear" w:color="auto" w:fill="auto"/>
            <w:vAlign w:val="center"/>
          </w:tcPr>
          <w:p w14:paraId="5C6FF81A">
            <w:pPr>
              <w:spacing w:line="300" w:lineRule="exact"/>
              <w:jc w:val="left"/>
              <w:rPr>
                <w:rFonts w:ascii="方正书宋_GBK" w:eastAsia="方正书宋_GBK"/>
              </w:rPr>
            </w:pPr>
            <w:r>
              <w:rPr>
                <w:rFonts w:hint="eastAsia" w:ascii="方正书宋_GBK" w:eastAsia="方正书宋_GBK"/>
              </w:rPr>
              <w:t>庭审直播的影响占总庭审数量的比率</w:t>
            </w:r>
          </w:p>
        </w:tc>
        <w:tc>
          <w:tcPr>
            <w:tcW w:w="1276" w:type="dxa"/>
            <w:shd w:val="clear" w:color="auto" w:fill="auto"/>
            <w:vAlign w:val="center"/>
          </w:tcPr>
          <w:p w14:paraId="51F57517">
            <w:pPr>
              <w:spacing w:line="300" w:lineRule="exact"/>
              <w:jc w:val="left"/>
              <w:rPr>
                <w:rFonts w:ascii="方正书宋_GBK" w:eastAsia="方正书宋_GBK"/>
              </w:rPr>
            </w:pPr>
            <w:r>
              <w:rPr>
                <w:rFonts w:ascii="方正书宋_GBK" w:eastAsia="方正书宋_GBK"/>
              </w:rPr>
              <w:t>1100%</w:t>
            </w:r>
          </w:p>
        </w:tc>
        <w:tc>
          <w:tcPr>
            <w:tcW w:w="1701" w:type="dxa"/>
            <w:shd w:val="clear" w:color="auto" w:fill="auto"/>
            <w:vAlign w:val="center"/>
          </w:tcPr>
          <w:p w14:paraId="1BE8189B">
            <w:pPr>
              <w:spacing w:line="300" w:lineRule="exact"/>
              <w:jc w:val="left"/>
              <w:rPr>
                <w:rFonts w:hint="eastAsia" w:ascii="方正书宋_GBK" w:eastAsia="方正书宋_GBK"/>
              </w:rPr>
            </w:pPr>
            <w:r>
              <w:rPr>
                <w:rFonts w:hint="eastAsia" w:ascii="方正书宋_GBK" w:eastAsia="方正书宋_GBK"/>
              </w:rPr>
              <w:t>历史数据</w:t>
            </w:r>
          </w:p>
        </w:tc>
      </w:tr>
      <w:tr w14:paraId="2A9E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F0BEF6">
            <w:pPr>
              <w:spacing w:line="300" w:lineRule="exact"/>
              <w:jc w:val="center"/>
              <w:rPr>
                <w:rFonts w:hint="eastAsia" w:ascii="方正书宋_GBK" w:eastAsia="方正书宋_GBK"/>
              </w:rPr>
            </w:pPr>
          </w:p>
        </w:tc>
        <w:tc>
          <w:tcPr>
            <w:tcW w:w="1134" w:type="dxa"/>
            <w:shd w:val="clear" w:color="auto" w:fill="auto"/>
            <w:vAlign w:val="center"/>
          </w:tcPr>
          <w:p w14:paraId="1CA7E49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A1A40D9">
            <w:pPr>
              <w:spacing w:line="300" w:lineRule="exact"/>
              <w:jc w:val="left"/>
              <w:rPr>
                <w:rFonts w:hint="eastAsia" w:ascii="方正书宋_GBK" w:eastAsia="方正书宋_GBK"/>
              </w:rPr>
            </w:pPr>
            <w:r>
              <w:rPr>
                <w:rFonts w:hint="eastAsia" w:ascii="方正书宋_GBK" w:eastAsia="方正书宋_GBK"/>
              </w:rPr>
              <w:t>案件的结案率</w:t>
            </w:r>
          </w:p>
        </w:tc>
        <w:tc>
          <w:tcPr>
            <w:tcW w:w="2891" w:type="dxa"/>
            <w:shd w:val="clear" w:color="auto" w:fill="auto"/>
            <w:vAlign w:val="center"/>
          </w:tcPr>
          <w:p w14:paraId="5EE3E293">
            <w:pPr>
              <w:spacing w:line="300" w:lineRule="exact"/>
              <w:jc w:val="left"/>
              <w:rPr>
                <w:rFonts w:ascii="方正书宋_GBK" w:eastAsia="方正书宋_GBK"/>
              </w:rPr>
            </w:pPr>
            <w:r>
              <w:rPr>
                <w:rFonts w:hint="eastAsia" w:ascii="方正书宋_GBK" w:eastAsia="方正书宋_GBK"/>
              </w:rPr>
              <w:t>案件的结案数量占总立案数量的比率</w:t>
            </w:r>
          </w:p>
        </w:tc>
        <w:tc>
          <w:tcPr>
            <w:tcW w:w="1276" w:type="dxa"/>
            <w:shd w:val="clear" w:color="auto" w:fill="auto"/>
            <w:vAlign w:val="center"/>
          </w:tcPr>
          <w:p w14:paraId="141522D1">
            <w:pPr>
              <w:spacing w:line="300" w:lineRule="exact"/>
              <w:jc w:val="left"/>
              <w:rPr>
                <w:rFonts w:ascii="方正书宋_GBK" w:eastAsia="方正书宋_GBK"/>
              </w:rPr>
            </w:pPr>
            <w:r>
              <w:rPr>
                <w:rFonts w:ascii="方正书宋_GBK" w:eastAsia="方正书宋_GBK"/>
              </w:rPr>
              <w:t>1100%</w:t>
            </w:r>
          </w:p>
        </w:tc>
        <w:tc>
          <w:tcPr>
            <w:tcW w:w="1701" w:type="dxa"/>
            <w:shd w:val="clear" w:color="auto" w:fill="auto"/>
            <w:vAlign w:val="center"/>
          </w:tcPr>
          <w:p w14:paraId="245D6DAE">
            <w:pPr>
              <w:spacing w:line="300" w:lineRule="exact"/>
              <w:jc w:val="left"/>
              <w:rPr>
                <w:rFonts w:hint="eastAsia" w:ascii="方正书宋_GBK" w:eastAsia="方正书宋_GBK"/>
              </w:rPr>
            </w:pPr>
            <w:r>
              <w:rPr>
                <w:rFonts w:hint="eastAsia" w:ascii="方正书宋_GBK" w:eastAsia="方正书宋_GBK"/>
              </w:rPr>
              <w:t>工作计划</w:t>
            </w:r>
          </w:p>
        </w:tc>
      </w:tr>
      <w:tr w14:paraId="554A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6CB16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B1F031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AB49B89">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6CD84C4">
            <w:pPr>
              <w:spacing w:line="300" w:lineRule="exact"/>
              <w:jc w:val="left"/>
              <w:rPr>
                <w:rFonts w:ascii="方正书宋_GBK" w:eastAsia="方正书宋_GBK"/>
              </w:rPr>
            </w:pPr>
            <w:r>
              <w:rPr>
                <w:rFonts w:hint="eastAsia" w:ascii="方正书宋_GBK" w:eastAsia="方正书宋_GBK"/>
              </w:rPr>
              <w:t>使用信息化工作人员对所提供服务的满意程度</w:t>
            </w:r>
          </w:p>
        </w:tc>
        <w:tc>
          <w:tcPr>
            <w:tcW w:w="1276" w:type="dxa"/>
            <w:shd w:val="clear" w:color="auto" w:fill="auto"/>
            <w:vAlign w:val="center"/>
          </w:tcPr>
          <w:p w14:paraId="5998592F">
            <w:pPr>
              <w:spacing w:line="300" w:lineRule="exact"/>
              <w:jc w:val="left"/>
              <w:rPr>
                <w:rFonts w:ascii="方正书宋_GBK" w:eastAsia="方正书宋_GBK"/>
              </w:rPr>
            </w:pPr>
            <w:r>
              <w:rPr>
                <w:rFonts w:ascii="方正书宋_GBK" w:eastAsia="方正书宋_GBK"/>
              </w:rPr>
              <w:t>1100%</w:t>
            </w:r>
          </w:p>
        </w:tc>
        <w:tc>
          <w:tcPr>
            <w:tcW w:w="1701" w:type="dxa"/>
            <w:shd w:val="clear" w:color="auto" w:fill="auto"/>
            <w:vAlign w:val="center"/>
          </w:tcPr>
          <w:p w14:paraId="03F48A46">
            <w:pPr>
              <w:spacing w:line="300" w:lineRule="exact"/>
              <w:jc w:val="left"/>
              <w:rPr>
                <w:rFonts w:hint="eastAsia" w:ascii="方正书宋_GBK" w:eastAsia="方正书宋_GBK"/>
              </w:rPr>
            </w:pPr>
            <w:r>
              <w:rPr>
                <w:rFonts w:hint="eastAsia" w:ascii="方正书宋_GBK" w:eastAsia="方正书宋_GBK"/>
              </w:rPr>
              <w:t>调查问卷</w:t>
            </w:r>
          </w:p>
        </w:tc>
      </w:tr>
    </w:tbl>
    <w:p w14:paraId="3194074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B11461B">
      <w:pPr>
        <w:spacing w:line="300" w:lineRule="exact"/>
        <w:ind w:firstLine="420" w:firstLineChars="200"/>
        <w:jc w:val="left"/>
      </w:pPr>
    </w:p>
    <w:p w14:paraId="44136FB1">
      <w:pPr>
        <w:ind w:firstLine="562" w:firstLineChars="200"/>
        <w:jc w:val="left"/>
        <w:outlineLvl w:val="1"/>
        <w:rPr>
          <w:rFonts w:ascii="Times New Roman" w:hAnsi="宋体"/>
          <w:b/>
          <w:sz w:val="28"/>
        </w:rPr>
      </w:pPr>
      <w:r>
        <w:rPr>
          <w:rFonts w:hint="eastAsia" w:ascii="方正仿宋_GBK" w:eastAsia="方正仿宋_GBK"/>
          <w:b/>
          <w:sz w:val="28"/>
        </w:rPr>
        <w:t>3、法院业务经费绩效目标表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497514"/>
      <w:r>
        <w:rPr>
          <w:rFonts w:hint="eastAsia" w:ascii="方正仿宋_GBK" w:eastAsia="方正仿宋_GBK"/>
          <w:b/>
          <w:sz w:val="28"/>
        </w:rPr>
        <w:instrText xml:space="preserve">3、法院业务经费绩效目标表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FC4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2C69DA8">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348A0387">
            <w:pPr>
              <w:spacing w:line="300" w:lineRule="exact"/>
              <w:jc w:val="right"/>
              <w:rPr>
                <w:rFonts w:ascii="方正书宋_GBK" w:eastAsia="方正书宋_GBK"/>
              </w:rPr>
            </w:pPr>
            <w:r>
              <w:rPr>
                <w:rFonts w:hint="eastAsia" w:ascii="方正书宋_GBK" w:eastAsia="方正书宋_GBK"/>
              </w:rPr>
              <w:t>单位：万元</w:t>
            </w:r>
          </w:p>
        </w:tc>
      </w:tr>
      <w:tr w14:paraId="69C6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866348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EBE0CA8">
            <w:pPr>
              <w:spacing w:line="300" w:lineRule="exact"/>
              <w:jc w:val="left"/>
              <w:rPr>
                <w:rFonts w:ascii="方正书宋_GBK" w:eastAsia="方正书宋_GBK"/>
              </w:rPr>
            </w:pPr>
            <w:r>
              <w:rPr>
                <w:rFonts w:ascii="方正书宋_GBK" w:eastAsia="方正书宋_GBK"/>
              </w:rPr>
              <w:t>000-9999-JSN-H46N</w:t>
            </w:r>
          </w:p>
        </w:tc>
        <w:tc>
          <w:tcPr>
            <w:tcW w:w="1587" w:type="dxa"/>
            <w:shd w:val="clear" w:color="auto" w:fill="auto"/>
            <w:vAlign w:val="center"/>
          </w:tcPr>
          <w:p w14:paraId="25887A5A">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4AC1826D">
            <w:pPr>
              <w:spacing w:line="300" w:lineRule="exact"/>
              <w:jc w:val="left"/>
              <w:rPr>
                <w:rFonts w:ascii="方正书宋_GBK" w:eastAsia="方正书宋_GBK"/>
              </w:rPr>
            </w:pPr>
            <w:r>
              <w:rPr>
                <w:rFonts w:hint="eastAsia" w:ascii="方正书宋_GBK" w:eastAsia="方正书宋_GBK"/>
              </w:rPr>
              <w:t>法院业务经费</w:t>
            </w:r>
          </w:p>
        </w:tc>
      </w:tr>
      <w:tr w14:paraId="64B1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BC81BE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ACB697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20D675B">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14:paraId="085581D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06419B7">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14:paraId="769EB6D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02A8A53">
            <w:pPr>
              <w:spacing w:line="300" w:lineRule="exact"/>
              <w:jc w:val="left"/>
              <w:rPr>
                <w:rFonts w:ascii="方正书宋_GBK" w:eastAsia="方正书宋_GBK"/>
              </w:rPr>
            </w:pPr>
          </w:p>
        </w:tc>
      </w:tr>
      <w:tr w14:paraId="0730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2B1FC0B">
            <w:pPr>
              <w:spacing w:line="300" w:lineRule="exact"/>
              <w:jc w:val="left"/>
              <w:outlineLvl w:val="1"/>
            </w:pPr>
          </w:p>
        </w:tc>
        <w:tc>
          <w:tcPr>
            <w:tcW w:w="8278" w:type="dxa"/>
            <w:gridSpan w:val="6"/>
            <w:shd w:val="clear" w:color="auto" w:fill="auto"/>
            <w:vAlign w:val="center"/>
          </w:tcPr>
          <w:p w14:paraId="55A20B93">
            <w:pPr>
              <w:spacing w:line="300" w:lineRule="exact"/>
              <w:jc w:val="left"/>
              <w:rPr>
                <w:rFonts w:ascii="方正书宋_GBK" w:eastAsia="方正书宋_GBK"/>
              </w:rPr>
            </w:pPr>
            <w:r>
              <w:rPr>
                <w:rFonts w:hint="eastAsia" w:ascii="方正书宋_GBK" w:eastAsia="方正书宋_GBK"/>
              </w:rPr>
              <w:t>我院案件成爆长态势，光案件邮递费一年约</w:t>
            </w:r>
            <w:r>
              <w:rPr>
                <w:rFonts w:ascii="方正书宋_GBK" w:eastAsia="方正书宋_GBK"/>
              </w:rPr>
              <w:t>40</w:t>
            </w:r>
            <w:r>
              <w:rPr>
                <w:rFonts w:hint="eastAsia" w:ascii="方正书宋_GBK" w:eastAsia="方正书宋_GBK"/>
              </w:rPr>
              <w:t>万元左右造成办案业务费资金短缺。案板的增加，因当事人或被执行人均在外地，干警外地办案需要办案经费，根据上级要求，以后法外出办案，差旅费均需法院自行承担。进一步加强社会主义法制建设，保证人民法院审判工作的顺利进行。</w:t>
            </w:r>
          </w:p>
        </w:tc>
      </w:tr>
      <w:tr w14:paraId="3678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96EF1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7572ED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2E33DC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DF6185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CFFDEF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776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4CB9EE4">
            <w:pPr>
              <w:spacing w:line="300" w:lineRule="exact"/>
              <w:jc w:val="left"/>
              <w:outlineLvl w:val="1"/>
            </w:pPr>
          </w:p>
        </w:tc>
        <w:tc>
          <w:tcPr>
            <w:tcW w:w="2410" w:type="dxa"/>
            <w:gridSpan w:val="2"/>
            <w:tcBorders>
              <w:bottom w:val="single" w:color="000000" w:sz="6" w:space="0"/>
            </w:tcBorders>
            <w:shd w:val="clear" w:color="auto" w:fill="auto"/>
            <w:vAlign w:val="center"/>
          </w:tcPr>
          <w:p w14:paraId="78D1FEB6">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6075D928">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14:paraId="2A4F8C32">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14:paraId="1C85AC07">
            <w:pPr>
              <w:spacing w:line="300" w:lineRule="exact"/>
              <w:jc w:val="center"/>
              <w:rPr>
                <w:rFonts w:ascii="方正书宋_GBK" w:eastAsia="方正书宋_GBK"/>
              </w:rPr>
            </w:pPr>
            <w:r>
              <w:rPr>
                <w:rFonts w:ascii="方正书宋_GBK" w:eastAsia="方正书宋_GBK"/>
              </w:rPr>
              <w:t>100.00</w:t>
            </w:r>
          </w:p>
        </w:tc>
      </w:tr>
      <w:tr w14:paraId="70B8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B0C28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A1E0E6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、使各类案件在通过判决或调解在法定期限内结案</w:t>
            </w:r>
          </w:p>
        </w:tc>
      </w:tr>
    </w:tbl>
    <w:p w14:paraId="30AD4CB3">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E8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1AF98E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2D4C61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850247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D92C94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7CA5BB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7134B18">
            <w:pPr>
              <w:spacing w:line="300" w:lineRule="exact"/>
              <w:jc w:val="center"/>
              <w:rPr>
                <w:rFonts w:ascii="方正书宋_GBK" w:eastAsia="方正书宋_GBK"/>
                <w:b/>
              </w:rPr>
            </w:pPr>
            <w:r>
              <w:rPr>
                <w:rFonts w:hint="eastAsia" w:ascii="方正书宋_GBK" w:eastAsia="方正书宋_GBK"/>
                <w:b/>
              </w:rPr>
              <w:t>指标值确定依据</w:t>
            </w:r>
          </w:p>
        </w:tc>
      </w:tr>
      <w:tr w14:paraId="6120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BE0D97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8E011F0">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3067582A">
            <w:pPr>
              <w:spacing w:line="300" w:lineRule="exact"/>
              <w:jc w:val="left"/>
              <w:rPr>
                <w:rFonts w:ascii="方正书宋_GBK" w:eastAsia="方正书宋_GBK"/>
              </w:rPr>
            </w:pPr>
            <w:r>
              <w:rPr>
                <w:rFonts w:hint="eastAsia" w:ascii="方正书宋_GBK" w:eastAsia="方正书宋_GBK"/>
              </w:rPr>
              <w:t>案件结案率</w:t>
            </w:r>
          </w:p>
        </w:tc>
        <w:tc>
          <w:tcPr>
            <w:tcW w:w="2891" w:type="dxa"/>
            <w:shd w:val="clear" w:color="auto" w:fill="auto"/>
            <w:vAlign w:val="center"/>
          </w:tcPr>
          <w:p w14:paraId="69574DC3">
            <w:pPr>
              <w:spacing w:line="300" w:lineRule="exact"/>
              <w:jc w:val="left"/>
              <w:rPr>
                <w:rFonts w:ascii="方正书宋_GBK" w:eastAsia="方正书宋_GBK"/>
              </w:rPr>
            </w:pPr>
            <w:r>
              <w:rPr>
                <w:rFonts w:hint="eastAsia" w:ascii="方正书宋_GBK" w:eastAsia="方正书宋_GBK"/>
              </w:rPr>
              <w:t>已结案件数量占全部立案数量的比率</w:t>
            </w:r>
          </w:p>
        </w:tc>
        <w:tc>
          <w:tcPr>
            <w:tcW w:w="1276" w:type="dxa"/>
            <w:shd w:val="clear" w:color="auto" w:fill="auto"/>
            <w:vAlign w:val="center"/>
          </w:tcPr>
          <w:p w14:paraId="54A2753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185%</w:t>
            </w:r>
          </w:p>
        </w:tc>
        <w:tc>
          <w:tcPr>
            <w:tcW w:w="1701" w:type="dxa"/>
            <w:shd w:val="clear" w:color="auto" w:fill="auto"/>
            <w:vAlign w:val="center"/>
          </w:tcPr>
          <w:p w14:paraId="658FC923">
            <w:pPr>
              <w:spacing w:line="300" w:lineRule="exact"/>
              <w:jc w:val="left"/>
              <w:rPr>
                <w:rFonts w:ascii="方正书宋_GBK" w:eastAsia="方正书宋_GBK"/>
              </w:rPr>
            </w:pPr>
            <w:r>
              <w:rPr>
                <w:rFonts w:hint="eastAsia" w:ascii="方正书宋_GBK" w:eastAsia="方正书宋_GBK"/>
              </w:rPr>
              <w:t>历史数据</w:t>
            </w:r>
          </w:p>
        </w:tc>
      </w:tr>
      <w:tr w14:paraId="6DCB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A71943">
            <w:pPr>
              <w:spacing w:line="300" w:lineRule="exact"/>
              <w:jc w:val="center"/>
              <w:rPr>
                <w:rFonts w:hint="eastAsia" w:ascii="方正书宋_GBK" w:eastAsia="方正书宋_GBK"/>
              </w:rPr>
            </w:pPr>
          </w:p>
        </w:tc>
        <w:tc>
          <w:tcPr>
            <w:tcW w:w="1134" w:type="dxa"/>
            <w:shd w:val="clear" w:color="auto" w:fill="auto"/>
            <w:vAlign w:val="center"/>
          </w:tcPr>
          <w:p w14:paraId="6C807E9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4D79956D">
            <w:pPr>
              <w:spacing w:line="300" w:lineRule="exact"/>
              <w:jc w:val="left"/>
              <w:rPr>
                <w:rFonts w:hint="eastAsia" w:ascii="方正书宋_GBK" w:eastAsia="方正书宋_GBK"/>
              </w:rPr>
            </w:pPr>
            <w:r>
              <w:rPr>
                <w:rFonts w:hint="eastAsia" w:ascii="方正书宋_GBK" w:eastAsia="方正书宋_GBK"/>
              </w:rPr>
              <w:t>案件结案时间</w:t>
            </w:r>
          </w:p>
        </w:tc>
        <w:tc>
          <w:tcPr>
            <w:tcW w:w="2891" w:type="dxa"/>
            <w:shd w:val="clear" w:color="auto" w:fill="auto"/>
            <w:vAlign w:val="center"/>
          </w:tcPr>
          <w:p w14:paraId="3E58A789">
            <w:pPr>
              <w:spacing w:line="300" w:lineRule="exact"/>
              <w:jc w:val="left"/>
              <w:rPr>
                <w:rFonts w:ascii="方正书宋_GBK" w:eastAsia="方正书宋_GBK"/>
              </w:rPr>
            </w:pPr>
            <w:r>
              <w:rPr>
                <w:rFonts w:hint="eastAsia" w:ascii="方正书宋_GBK" w:eastAsia="方正书宋_GBK"/>
              </w:rPr>
              <w:t>案件在规定期限内结案率</w:t>
            </w:r>
          </w:p>
        </w:tc>
        <w:tc>
          <w:tcPr>
            <w:tcW w:w="1276" w:type="dxa"/>
            <w:shd w:val="clear" w:color="auto" w:fill="auto"/>
            <w:vAlign w:val="center"/>
          </w:tcPr>
          <w:p w14:paraId="29BA37B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195%</w:t>
            </w:r>
          </w:p>
        </w:tc>
        <w:tc>
          <w:tcPr>
            <w:tcW w:w="1701" w:type="dxa"/>
            <w:shd w:val="clear" w:color="auto" w:fill="auto"/>
            <w:vAlign w:val="center"/>
          </w:tcPr>
          <w:p w14:paraId="383EF20B">
            <w:pPr>
              <w:spacing w:line="300" w:lineRule="exact"/>
              <w:jc w:val="left"/>
              <w:rPr>
                <w:rFonts w:hint="eastAsia" w:ascii="方正书宋_GBK" w:eastAsia="方正书宋_GBK"/>
              </w:rPr>
            </w:pPr>
            <w:r>
              <w:rPr>
                <w:rFonts w:hint="eastAsia" w:ascii="方正书宋_GBK" w:eastAsia="方正书宋_GBK"/>
              </w:rPr>
              <w:t>工作计划</w:t>
            </w:r>
          </w:p>
        </w:tc>
      </w:tr>
      <w:tr w14:paraId="48BC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D086046">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F0B8BED">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A7196E5">
            <w:pPr>
              <w:spacing w:line="300" w:lineRule="exact"/>
              <w:jc w:val="left"/>
              <w:rPr>
                <w:rFonts w:hint="eastAsia" w:ascii="方正书宋_GBK" w:eastAsia="方正书宋_GBK"/>
              </w:rPr>
            </w:pPr>
            <w:r>
              <w:rPr>
                <w:rFonts w:hint="eastAsia" w:ascii="方正书宋_GBK" w:eastAsia="方正书宋_GBK"/>
              </w:rPr>
              <w:t>执行案件执结率</w:t>
            </w:r>
          </w:p>
        </w:tc>
        <w:tc>
          <w:tcPr>
            <w:tcW w:w="2891" w:type="dxa"/>
            <w:shd w:val="clear" w:color="auto" w:fill="auto"/>
            <w:vAlign w:val="center"/>
          </w:tcPr>
          <w:p w14:paraId="2EC98942">
            <w:pPr>
              <w:spacing w:line="300" w:lineRule="exact"/>
              <w:jc w:val="left"/>
              <w:rPr>
                <w:rFonts w:ascii="方正书宋_GBK" w:eastAsia="方正书宋_GBK"/>
              </w:rPr>
            </w:pPr>
            <w:r>
              <w:rPr>
                <w:rFonts w:hint="eastAsia" w:ascii="方正书宋_GBK" w:eastAsia="方正书宋_GBK"/>
              </w:rPr>
              <w:t>已执行完毕案件占总执行案件的比率</w:t>
            </w:r>
          </w:p>
        </w:tc>
        <w:tc>
          <w:tcPr>
            <w:tcW w:w="1276" w:type="dxa"/>
            <w:shd w:val="clear" w:color="auto" w:fill="auto"/>
            <w:vAlign w:val="center"/>
          </w:tcPr>
          <w:p w14:paraId="0BEA861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185%</w:t>
            </w:r>
          </w:p>
        </w:tc>
        <w:tc>
          <w:tcPr>
            <w:tcW w:w="1701" w:type="dxa"/>
            <w:shd w:val="clear" w:color="auto" w:fill="auto"/>
            <w:vAlign w:val="center"/>
          </w:tcPr>
          <w:p w14:paraId="576C4203">
            <w:pPr>
              <w:spacing w:line="300" w:lineRule="exact"/>
              <w:jc w:val="left"/>
              <w:rPr>
                <w:rFonts w:hint="eastAsia" w:ascii="方正书宋_GBK" w:eastAsia="方正书宋_GBK"/>
              </w:rPr>
            </w:pPr>
            <w:r>
              <w:rPr>
                <w:rFonts w:hint="eastAsia" w:ascii="方正书宋_GBK" w:eastAsia="方正书宋_GBK"/>
              </w:rPr>
              <w:t>工作计划</w:t>
            </w:r>
          </w:p>
        </w:tc>
      </w:tr>
      <w:tr w14:paraId="2A63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3742AA">
            <w:pPr>
              <w:spacing w:line="300" w:lineRule="exact"/>
              <w:jc w:val="center"/>
              <w:rPr>
                <w:rFonts w:hint="eastAsia" w:ascii="方正书宋_GBK" w:eastAsia="方正书宋_GBK"/>
              </w:rPr>
            </w:pPr>
          </w:p>
        </w:tc>
        <w:tc>
          <w:tcPr>
            <w:tcW w:w="1134" w:type="dxa"/>
            <w:shd w:val="clear" w:color="auto" w:fill="auto"/>
            <w:vAlign w:val="center"/>
          </w:tcPr>
          <w:p w14:paraId="7B2D3DB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1EA801D">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04AA7BAD">
            <w:pPr>
              <w:spacing w:line="300" w:lineRule="exact"/>
              <w:jc w:val="left"/>
              <w:rPr>
                <w:rFonts w:ascii="方正书宋_GBK" w:eastAsia="方正书宋_GBK"/>
              </w:rPr>
            </w:pPr>
            <w:r>
              <w:rPr>
                <w:rFonts w:hint="eastAsia" w:ascii="方正书宋_GBK" w:eastAsia="方正书宋_GBK"/>
              </w:rPr>
              <w:t>执行工作在全省的影响率</w:t>
            </w:r>
          </w:p>
        </w:tc>
        <w:tc>
          <w:tcPr>
            <w:tcW w:w="1276" w:type="dxa"/>
            <w:shd w:val="clear" w:color="auto" w:fill="auto"/>
            <w:vAlign w:val="center"/>
          </w:tcPr>
          <w:p w14:paraId="04ABA66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190%</w:t>
            </w:r>
          </w:p>
        </w:tc>
        <w:tc>
          <w:tcPr>
            <w:tcW w:w="1701" w:type="dxa"/>
            <w:shd w:val="clear" w:color="auto" w:fill="auto"/>
            <w:vAlign w:val="center"/>
          </w:tcPr>
          <w:p w14:paraId="06B8895F">
            <w:pPr>
              <w:spacing w:line="300" w:lineRule="exact"/>
              <w:jc w:val="left"/>
              <w:rPr>
                <w:rFonts w:hint="eastAsia" w:ascii="方正书宋_GBK" w:eastAsia="方正书宋_GBK"/>
              </w:rPr>
            </w:pPr>
            <w:r>
              <w:rPr>
                <w:rFonts w:hint="eastAsia" w:ascii="方正书宋_GBK" w:eastAsia="方正书宋_GBK"/>
              </w:rPr>
              <w:t>工作计划</w:t>
            </w:r>
          </w:p>
        </w:tc>
      </w:tr>
      <w:tr w14:paraId="4058E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364F2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3F4F3E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C8DE453">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4A4EE484">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4D599312">
            <w:pPr>
              <w:spacing w:line="300" w:lineRule="exact"/>
              <w:jc w:val="left"/>
              <w:rPr>
                <w:rFonts w:hint="eastAsia" w:ascii="方正书宋_GBK" w:eastAsia="方正书宋_GBK"/>
              </w:rPr>
            </w:pPr>
            <w:r>
              <w:rPr>
                <w:rFonts w:ascii="方正书宋_GBK" w:eastAsia="方正书宋_GBK"/>
              </w:rPr>
              <w:t>1100%</w:t>
            </w:r>
          </w:p>
        </w:tc>
        <w:tc>
          <w:tcPr>
            <w:tcW w:w="1701" w:type="dxa"/>
            <w:shd w:val="clear" w:color="auto" w:fill="auto"/>
            <w:vAlign w:val="center"/>
          </w:tcPr>
          <w:p w14:paraId="0BB1D712">
            <w:pPr>
              <w:spacing w:line="300" w:lineRule="exact"/>
              <w:jc w:val="left"/>
              <w:rPr>
                <w:rFonts w:hint="eastAsia" w:ascii="方正书宋_GBK" w:eastAsia="方正书宋_GBK"/>
              </w:rPr>
            </w:pPr>
            <w:r>
              <w:rPr>
                <w:rFonts w:hint="eastAsia" w:ascii="方正书宋_GBK" w:eastAsia="方正书宋_GBK"/>
              </w:rPr>
              <w:t>调查问卷</w:t>
            </w:r>
          </w:p>
        </w:tc>
      </w:tr>
    </w:tbl>
    <w:p w14:paraId="6E65A65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4642310">
      <w:pPr>
        <w:spacing w:line="300" w:lineRule="exact"/>
        <w:ind w:firstLine="420" w:firstLineChars="200"/>
        <w:jc w:val="left"/>
      </w:pPr>
    </w:p>
    <w:p w14:paraId="1201452A">
      <w:pPr>
        <w:ind w:firstLine="562" w:firstLineChars="200"/>
        <w:jc w:val="left"/>
        <w:outlineLvl w:val="1"/>
        <w:rPr>
          <w:rFonts w:ascii="Times New Roman" w:hAnsi="宋体"/>
          <w:b/>
          <w:sz w:val="28"/>
        </w:rPr>
      </w:pPr>
      <w:r>
        <w:rPr>
          <w:rFonts w:hint="eastAsia" w:ascii="方正仿宋_GBK" w:eastAsia="方正仿宋_GBK"/>
          <w:b/>
          <w:sz w:val="28"/>
        </w:rPr>
        <w:t>4、关于提前下达2020年2020年法院建设补助资金的通知绩效目标表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497515"/>
      <w:r>
        <w:rPr>
          <w:rFonts w:hint="eastAsia" w:ascii="方正仿宋_GBK" w:eastAsia="方正仿宋_GBK"/>
          <w:b/>
          <w:sz w:val="28"/>
        </w:rPr>
        <w:instrText xml:space="preserve">4、关于提前下达2020年2020年法院建设补助资金的通知绩效目标表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6C5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3F6A474">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14:paraId="19664747">
            <w:pPr>
              <w:spacing w:line="300" w:lineRule="exact"/>
              <w:jc w:val="right"/>
              <w:rPr>
                <w:rFonts w:ascii="方正书宋_GBK" w:eastAsia="方正书宋_GBK"/>
              </w:rPr>
            </w:pPr>
            <w:r>
              <w:rPr>
                <w:rFonts w:hint="eastAsia" w:ascii="方正书宋_GBK" w:eastAsia="方正书宋_GBK"/>
              </w:rPr>
              <w:t>单位：万元</w:t>
            </w:r>
          </w:p>
        </w:tc>
      </w:tr>
      <w:tr w14:paraId="59E2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A963EF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EA2F46D">
            <w:pPr>
              <w:spacing w:line="300" w:lineRule="exact"/>
              <w:jc w:val="left"/>
              <w:rPr>
                <w:rFonts w:ascii="方正书宋_GBK" w:eastAsia="方正书宋_GBK"/>
              </w:rPr>
            </w:pPr>
            <w:r>
              <w:rPr>
                <w:rFonts w:ascii="方正书宋_GBK" w:eastAsia="方正书宋_GBK"/>
              </w:rPr>
              <w:t>000-9999-JSN-RJZ0</w:t>
            </w:r>
          </w:p>
        </w:tc>
        <w:tc>
          <w:tcPr>
            <w:tcW w:w="1587" w:type="dxa"/>
            <w:shd w:val="clear" w:color="auto" w:fill="auto"/>
            <w:vAlign w:val="center"/>
          </w:tcPr>
          <w:p w14:paraId="730467E2">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14:paraId="1BC20975">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w:t>
            </w:r>
            <w:r>
              <w:rPr>
                <w:rFonts w:ascii="方正书宋_GBK" w:eastAsia="方正书宋_GBK"/>
              </w:rPr>
              <w:t>2020</w:t>
            </w:r>
            <w:r>
              <w:rPr>
                <w:rFonts w:hint="eastAsia" w:ascii="方正书宋_GBK" w:eastAsia="方正书宋_GBK"/>
              </w:rPr>
              <w:t>年法院建设补助资金的通知</w:t>
            </w:r>
          </w:p>
        </w:tc>
      </w:tr>
      <w:tr w14:paraId="6615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309B6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C3BE77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57AFED3">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14:paraId="47BE3BC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180C52E">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14:paraId="454EDE7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60F3A9D">
            <w:pPr>
              <w:spacing w:line="300" w:lineRule="exact"/>
              <w:jc w:val="left"/>
              <w:rPr>
                <w:rFonts w:ascii="方正书宋_GBK" w:eastAsia="方正书宋_GBK"/>
              </w:rPr>
            </w:pPr>
          </w:p>
        </w:tc>
      </w:tr>
      <w:tr w14:paraId="3528B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FEFB4DE">
            <w:pPr>
              <w:spacing w:line="300" w:lineRule="exact"/>
              <w:jc w:val="left"/>
              <w:outlineLvl w:val="1"/>
            </w:pPr>
          </w:p>
        </w:tc>
        <w:tc>
          <w:tcPr>
            <w:tcW w:w="8278" w:type="dxa"/>
            <w:gridSpan w:val="6"/>
            <w:shd w:val="clear" w:color="auto" w:fill="auto"/>
            <w:vAlign w:val="center"/>
          </w:tcPr>
          <w:p w14:paraId="7849D2BA">
            <w:pPr>
              <w:spacing w:line="300" w:lineRule="exact"/>
              <w:jc w:val="left"/>
              <w:rPr>
                <w:rFonts w:ascii="方正书宋_GBK" w:eastAsia="方正书宋_GBK"/>
              </w:rPr>
            </w:pPr>
            <w:r>
              <w:rPr>
                <w:rFonts w:hint="eastAsia" w:ascii="方正书宋_GBK" w:eastAsia="方正书宋_GBK"/>
              </w:rPr>
              <w:t>支持开展审判工作，确保专款专用，并做好项目绩效自评工作，</w:t>
            </w:r>
            <w:r>
              <w:rPr>
                <w:rFonts w:ascii="方正书宋_GBK" w:eastAsia="方正书宋_GBK"/>
              </w:rPr>
              <w:t>2020</w:t>
            </w:r>
            <w:r>
              <w:rPr>
                <w:rFonts w:hint="eastAsia" w:ascii="方正书宋_GBK" w:eastAsia="方正书宋_GBK"/>
              </w:rPr>
              <w:t>年法院建设补助资金</w:t>
            </w:r>
            <w:r>
              <w:rPr>
                <w:rFonts w:ascii="方正书宋_GBK" w:eastAsia="方正书宋_GBK"/>
              </w:rPr>
              <w:t>80</w:t>
            </w:r>
            <w:r>
              <w:rPr>
                <w:rFonts w:hint="eastAsia" w:ascii="方正书宋_GBK" w:eastAsia="方正书宋_GBK"/>
              </w:rPr>
              <w:t>万元其中</w:t>
            </w:r>
            <w:r>
              <w:rPr>
                <w:rFonts w:ascii="方正书宋_GBK" w:eastAsia="方正书宋_GBK"/>
              </w:rPr>
              <w:t>60</w:t>
            </w:r>
            <w:r>
              <w:rPr>
                <w:rFonts w:hint="eastAsia" w:ascii="方正书宋_GBK" w:eastAsia="方正书宋_GBK"/>
              </w:rPr>
              <w:t>万元用于</w:t>
            </w:r>
            <w:r>
              <w:rPr>
                <w:rFonts w:ascii="方正书宋_GBK" w:eastAsia="方正书宋_GBK"/>
              </w:rPr>
              <w:t>1</w:t>
            </w:r>
            <w:r>
              <w:rPr>
                <w:rFonts w:hint="eastAsia" w:ascii="方正书宋_GBK" w:eastAsia="方正书宋_GBK"/>
              </w:rPr>
              <w:t>套高速彩色多功能打印装订一体化设备购置，</w:t>
            </w:r>
            <w:r>
              <w:rPr>
                <w:rFonts w:ascii="方正书宋_GBK" w:eastAsia="方正书宋_GBK"/>
              </w:rPr>
              <w:t>20</w:t>
            </w:r>
            <w:r>
              <w:rPr>
                <w:rFonts w:hint="eastAsia" w:ascii="方正书宋_GBK" w:eastAsia="方正书宋_GBK"/>
              </w:rPr>
              <w:t>万元用于诉讼服务中心升级改造装备（</w:t>
            </w: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综合服务平台）购置经费。</w:t>
            </w:r>
          </w:p>
        </w:tc>
      </w:tr>
      <w:tr w14:paraId="23B8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B401F8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145278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AAEB30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9FB5E1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20EC8A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417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1144936">
            <w:pPr>
              <w:spacing w:line="300" w:lineRule="exact"/>
              <w:jc w:val="left"/>
              <w:outlineLvl w:val="1"/>
            </w:pPr>
          </w:p>
        </w:tc>
        <w:tc>
          <w:tcPr>
            <w:tcW w:w="2410" w:type="dxa"/>
            <w:gridSpan w:val="2"/>
            <w:tcBorders>
              <w:bottom w:val="single" w:color="000000" w:sz="6" w:space="0"/>
            </w:tcBorders>
            <w:shd w:val="clear" w:color="auto" w:fill="auto"/>
            <w:vAlign w:val="center"/>
          </w:tcPr>
          <w:p w14:paraId="33A7DAD7">
            <w:pPr>
              <w:spacing w:line="300" w:lineRule="exact"/>
              <w:jc w:val="center"/>
              <w:rPr>
                <w:rFonts w:ascii="方正书宋_GBK" w:eastAsia="方正书宋_GBK"/>
              </w:rPr>
            </w:pPr>
            <w:r>
              <w:rPr>
                <w:rFonts w:ascii="方正书宋_GBK" w:eastAsia="方正书宋_GBK"/>
              </w:rPr>
              <w:t>60.00</w:t>
            </w:r>
          </w:p>
        </w:tc>
        <w:tc>
          <w:tcPr>
            <w:tcW w:w="1587" w:type="dxa"/>
            <w:tcBorders>
              <w:bottom w:val="single" w:color="000000" w:sz="6" w:space="0"/>
            </w:tcBorders>
            <w:shd w:val="clear" w:color="auto" w:fill="auto"/>
            <w:vAlign w:val="center"/>
          </w:tcPr>
          <w:p w14:paraId="42726E84">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3F8E7FE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5025091C">
            <w:pPr>
              <w:spacing w:line="300" w:lineRule="exact"/>
              <w:jc w:val="center"/>
              <w:rPr>
                <w:rFonts w:ascii="方正书宋_GBK" w:eastAsia="方正书宋_GBK"/>
              </w:rPr>
            </w:pPr>
            <w:r>
              <w:rPr>
                <w:rFonts w:ascii="方正书宋_GBK" w:eastAsia="方正书宋_GBK"/>
              </w:rPr>
              <w:t>100.00</w:t>
            </w:r>
          </w:p>
        </w:tc>
      </w:tr>
      <w:tr w14:paraId="10B1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A6C2FD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A5FF5C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w:t>
            </w:r>
            <w:r>
              <w:rPr>
                <w:rFonts w:ascii="方正书宋_GBK" w:eastAsia="方正书宋_GBK"/>
              </w:rPr>
              <w:t>1</w:t>
            </w:r>
            <w:r>
              <w:rPr>
                <w:rFonts w:hint="eastAsia" w:ascii="方正书宋_GBK" w:eastAsia="方正书宋_GBK"/>
              </w:rPr>
              <w:t>套高速彩色多功能打印装订一体化设备购置</w:t>
            </w:r>
          </w:p>
          <w:p w14:paraId="0A71966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、用于诉讼服务中心升级改造装备（</w:t>
            </w: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综合服务平台）购置经费</w:t>
            </w:r>
          </w:p>
        </w:tc>
      </w:tr>
    </w:tbl>
    <w:p w14:paraId="62130D18">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E9C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BD38ED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9D0B1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CFD441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4B4941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4658D6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DD9D943">
            <w:pPr>
              <w:spacing w:line="300" w:lineRule="exact"/>
              <w:jc w:val="center"/>
              <w:rPr>
                <w:rFonts w:ascii="方正书宋_GBK" w:eastAsia="方正书宋_GBK"/>
                <w:b/>
              </w:rPr>
            </w:pPr>
            <w:r>
              <w:rPr>
                <w:rFonts w:hint="eastAsia" w:ascii="方正书宋_GBK" w:eastAsia="方正书宋_GBK"/>
                <w:b/>
              </w:rPr>
              <w:t>指标值确定依据</w:t>
            </w:r>
          </w:p>
        </w:tc>
      </w:tr>
      <w:tr w14:paraId="4B2B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EAF49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8501A9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A43B76B">
            <w:pPr>
              <w:spacing w:line="300" w:lineRule="exact"/>
              <w:jc w:val="left"/>
              <w:rPr>
                <w:rFonts w:ascii="方正书宋_GBK" w:eastAsia="方正书宋_GBK"/>
              </w:rPr>
            </w:pPr>
            <w:r>
              <w:rPr>
                <w:rFonts w:hint="eastAsia" w:ascii="方正书宋_GBK" w:eastAsia="方正书宋_GBK"/>
              </w:rPr>
              <w:t>购置设备数量</w:t>
            </w:r>
          </w:p>
        </w:tc>
        <w:tc>
          <w:tcPr>
            <w:tcW w:w="2891" w:type="dxa"/>
            <w:shd w:val="clear" w:color="auto" w:fill="auto"/>
            <w:vAlign w:val="center"/>
          </w:tcPr>
          <w:p w14:paraId="234FEE9E">
            <w:pPr>
              <w:spacing w:line="300" w:lineRule="exact"/>
              <w:jc w:val="left"/>
              <w:rPr>
                <w:rFonts w:ascii="方正书宋_GBK" w:eastAsia="方正书宋_GBK"/>
              </w:rPr>
            </w:pPr>
            <w:r>
              <w:rPr>
                <w:rFonts w:hint="eastAsia" w:ascii="方正书宋_GBK" w:eastAsia="方正书宋_GBK"/>
              </w:rPr>
              <w:t>购置高速彩色多功能打印装订一体化设备的数量</w:t>
            </w:r>
          </w:p>
        </w:tc>
        <w:tc>
          <w:tcPr>
            <w:tcW w:w="1276" w:type="dxa"/>
            <w:shd w:val="clear" w:color="auto" w:fill="auto"/>
            <w:vAlign w:val="center"/>
          </w:tcPr>
          <w:p w14:paraId="4C44A4B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14:paraId="2C898C9D">
            <w:pPr>
              <w:spacing w:line="300" w:lineRule="exact"/>
              <w:jc w:val="left"/>
              <w:rPr>
                <w:rFonts w:ascii="方正书宋_GBK" w:eastAsia="方正书宋_GBK"/>
              </w:rPr>
            </w:pPr>
            <w:r>
              <w:rPr>
                <w:rFonts w:hint="eastAsia" w:ascii="方正书宋_GBK" w:eastAsia="方正书宋_GBK"/>
              </w:rPr>
              <w:t>工作计划</w:t>
            </w:r>
          </w:p>
        </w:tc>
      </w:tr>
      <w:tr w14:paraId="414F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4BBEEE">
            <w:pPr>
              <w:spacing w:line="300" w:lineRule="exact"/>
              <w:jc w:val="center"/>
              <w:rPr>
                <w:rFonts w:hint="eastAsia" w:ascii="方正书宋_GBK" w:eastAsia="方正书宋_GBK"/>
              </w:rPr>
            </w:pPr>
          </w:p>
        </w:tc>
        <w:tc>
          <w:tcPr>
            <w:tcW w:w="1134" w:type="dxa"/>
            <w:shd w:val="clear" w:color="auto" w:fill="auto"/>
            <w:vAlign w:val="center"/>
          </w:tcPr>
          <w:p w14:paraId="767E8C33">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D21FD16">
            <w:pPr>
              <w:spacing w:line="300" w:lineRule="exact"/>
              <w:jc w:val="left"/>
              <w:rPr>
                <w:rFonts w:hint="eastAsia" w:ascii="方正书宋_GBK" w:eastAsia="方正书宋_GBK"/>
              </w:rPr>
            </w:pPr>
            <w:r>
              <w:rPr>
                <w:rFonts w:hint="eastAsia" w:ascii="方正书宋_GBK" w:eastAsia="方正书宋_GBK"/>
              </w:rPr>
              <w:t>诉讼服务中心升级改造</w:t>
            </w:r>
          </w:p>
        </w:tc>
        <w:tc>
          <w:tcPr>
            <w:tcW w:w="2891" w:type="dxa"/>
            <w:shd w:val="clear" w:color="auto" w:fill="auto"/>
            <w:vAlign w:val="center"/>
          </w:tcPr>
          <w:p w14:paraId="1763F435">
            <w:pPr>
              <w:spacing w:line="300" w:lineRule="exact"/>
              <w:jc w:val="left"/>
              <w:rPr>
                <w:rFonts w:ascii="方正书宋_GBK" w:eastAsia="方正书宋_GBK"/>
              </w:rPr>
            </w:pPr>
            <w:r>
              <w:rPr>
                <w:rFonts w:hint="eastAsia" w:ascii="方正书宋_GBK" w:eastAsia="方正书宋_GBK"/>
              </w:rPr>
              <w:t>诉讼服务中心升级改造装备（</w:t>
            </w:r>
            <w:r>
              <w:rPr>
                <w:rFonts w:hint="cs" w:ascii="方正书宋_GBK" w:eastAsia="方正书宋_GBK"/>
              </w:rPr>
              <w:t>“</w:t>
            </w:r>
            <w:r>
              <w:rPr>
                <w:rFonts w:hint="eastAsia" w:ascii="方正书宋_GBK" w:eastAsia="方正书宋_GBK"/>
              </w:rPr>
              <w:t>一站式</w:t>
            </w:r>
            <w:r>
              <w:rPr>
                <w:rFonts w:hint="cs" w:ascii="方正书宋_GBK" w:eastAsia="方正书宋_GBK"/>
              </w:rPr>
              <w:t>”</w:t>
            </w:r>
            <w:r>
              <w:rPr>
                <w:rFonts w:hint="eastAsia" w:ascii="方正书宋_GBK" w:eastAsia="方正书宋_GBK"/>
              </w:rPr>
              <w:t>综合服务平台购置数量</w:t>
            </w:r>
          </w:p>
        </w:tc>
        <w:tc>
          <w:tcPr>
            <w:tcW w:w="1276" w:type="dxa"/>
            <w:shd w:val="clear" w:color="auto" w:fill="auto"/>
            <w:vAlign w:val="center"/>
          </w:tcPr>
          <w:p w14:paraId="7EFF369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shd w:val="clear" w:color="auto" w:fill="auto"/>
            <w:vAlign w:val="center"/>
          </w:tcPr>
          <w:p w14:paraId="4C4B7D95">
            <w:pPr>
              <w:spacing w:line="300" w:lineRule="exact"/>
              <w:jc w:val="left"/>
              <w:rPr>
                <w:rFonts w:hint="eastAsia" w:ascii="方正书宋_GBK" w:eastAsia="方正书宋_GBK"/>
              </w:rPr>
            </w:pPr>
            <w:r>
              <w:rPr>
                <w:rFonts w:hint="eastAsia" w:ascii="方正书宋_GBK" w:eastAsia="方正书宋_GBK"/>
              </w:rPr>
              <w:t>工作计划</w:t>
            </w:r>
          </w:p>
        </w:tc>
      </w:tr>
      <w:tr w14:paraId="17EA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0E1B8EB">
            <w:pPr>
              <w:spacing w:line="300" w:lineRule="exact"/>
              <w:jc w:val="center"/>
              <w:rPr>
                <w:rFonts w:hint="eastAsia" w:ascii="方正书宋_GBK" w:eastAsia="方正书宋_GBK"/>
              </w:rPr>
            </w:pPr>
          </w:p>
        </w:tc>
        <w:tc>
          <w:tcPr>
            <w:tcW w:w="1134" w:type="dxa"/>
            <w:shd w:val="clear" w:color="auto" w:fill="auto"/>
            <w:vAlign w:val="center"/>
          </w:tcPr>
          <w:p w14:paraId="16C7BFC3">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262FDA1F">
            <w:pPr>
              <w:spacing w:line="300" w:lineRule="exact"/>
              <w:jc w:val="left"/>
              <w:rPr>
                <w:rFonts w:hint="eastAsia" w:ascii="方正书宋_GBK" w:eastAsia="方正书宋_GBK"/>
              </w:rPr>
            </w:pPr>
            <w:r>
              <w:rPr>
                <w:rFonts w:hint="eastAsia" w:ascii="方正书宋_GBK" w:eastAsia="方正书宋_GBK"/>
              </w:rPr>
              <w:t>购置、改造验收合格率</w:t>
            </w:r>
          </w:p>
        </w:tc>
        <w:tc>
          <w:tcPr>
            <w:tcW w:w="2891" w:type="dxa"/>
            <w:shd w:val="clear" w:color="auto" w:fill="auto"/>
            <w:vAlign w:val="center"/>
          </w:tcPr>
          <w:p w14:paraId="237C189D">
            <w:pPr>
              <w:spacing w:line="300" w:lineRule="exact"/>
              <w:jc w:val="left"/>
              <w:rPr>
                <w:rFonts w:ascii="方正书宋_GBK" w:eastAsia="方正书宋_GBK"/>
              </w:rPr>
            </w:pPr>
            <w:r>
              <w:rPr>
                <w:rFonts w:hint="eastAsia" w:ascii="方正书宋_GBK" w:eastAsia="方正书宋_GBK"/>
              </w:rPr>
              <w:t>装备购置、改造诉讼中心验收合格占总任务的比例</w:t>
            </w:r>
          </w:p>
        </w:tc>
        <w:tc>
          <w:tcPr>
            <w:tcW w:w="1276" w:type="dxa"/>
            <w:shd w:val="clear" w:color="auto" w:fill="auto"/>
            <w:vAlign w:val="center"/>
          </w:tcPr>
          <w:p w14:paraId="79F74B6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693E9E3D">
            <w:pPr>
              <w:spacing w:line="300" w:lineRule="exact"/>
              <w:jc w:val="left"/>
              <w:rPr>
                <w:rFonts w:hint="eastAsia" w:ascii="方正书宋_GBK" w:eastAsia="方正书宋_GBK"/>
              </w:rPr>
            </w:pPr>
            <w:r>
              <w:rPr>
                <w:rFonts w:hint="eastAsia" w:ascii="方正书宋_GBK" w:eastAsia="方正书宋_GBK"/>
              </w:rPr>
              <w:t>工作计划</w:t>
            </w:r>
          </w:p>
        </w:tc>
      </w:tr>
      <w:tr w14:paraId="242F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38E17C">
            <w:pPr>
              <w:spacing w:line="300" w:lineRule="exact"/>
              <w:jc w:val="center"/>
              <w:rPr>
                <w:rFonts w:hint="eastAsia" w:ascii="方正书宋_GBK" w:eastAsia="方正书宋_GBK"/>
              </w:rPr>
            </w:pPr>
          </w:p>
        </w:tc>
        <w:tc>
          <w:tcPr>
            <w:tcW w:w="1134" w:type="dxa"/>
            <w:shd w:val="clear" w:color="auto" w:fill="auto"/>
            <w:vAlign w:val="center"/>
          </w:tcPr>
          <w:p w14:paraId="42E7BA84">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C2D56CE">
            <w:pPr>
              <w:spacing w:line="300" w:lineRule="exact"/>
              <w:jc w:val="left"/>
              <w:rPr>
                <w:rFonts w:hint="eastAsia" w:ascii="方正书宋_GBK" w:eastAsia="方正书宋_GBK"/>
              </w:rPr>
            </w:pPr>
            <w:r>
              <w:rPr>
                <w:rFonts w:hint="eastAsia" w:ascii="方正书宋_GBK" w:eastAsia="方正书宋_GBK"/>
              </w:rPr>
              <w:t>项目的完成率</w:t>
            </w:r>
          </w:p>
        </w:tc>
        <w:tc>
          <w:tcPr>
            <w:tcW w:w="2891" w:type="dxa"/>
            <w:shd w:val="clear" w:color="auto" w:fill="auto"/>
            <w:vAlign w:val="center"/>
          </w:tcPr>
          <w:p w14:paraId="59575574">
            <w:pPr>
              <w:spacing w:line="300" w:lineRule="exact"/>
              <w:jc w:val="left"/>
              <w:rPr>
                <w:rFonts w:ascii="方正书宋_GBK" w:eastAsia="方正书宋_GBK"/>
              </w:rPr>
            </w:pPr>
            <w:r>
              <w:rPr>
                <w:rFonts w:hint="eastAsia" w:ascii="方正书宋_GBK" w:eastAsia="方正书宋_GBK"/>
              </w:rPr>
              <w:t>按照要求和计划完成项目在所有立项项目中的比例（百分比）</w:t>
            </w:r>
          </w:p>
        </w:tc>
        <w:tc>
          <w:tcPr>
            <w:tcW w:w="1276" w:type="dxa"/>
            <w:shd w:val="clear" w:color="auto" w:fill="auto"/>
            <w:vAlign w:val="center"/>
          </w:tcPr>
          <w:p w14:paraId="51EB32DA">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14:paraId="08224AC9">
            <w:pPr>
              <w:spacing w:line="300" w:lineRule="exact"/>
              <w:jc w:val="left"/>
              <w:rPr>
                <w:rFonts w:hint="eastAsia" w:ascii="方正书宋_GBK" w:eastAsia="方正书宋_GBK"/>
              </w:rPr>
            </w:pPr>
            <w:r>
              <w:rPr>
                <w:rFonts w:hint="eastAsia" w:ascii="方正书宋_GBK" w:eastAsia="方正书宋_GBK"/>
              </w:rPr>
              <w:t>工作计划</w:t>
            </w:r>
          </w:p>
        </w:tc>
      </w:tr>
      <w:tr w14:paraId="54FD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DB852E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AEDE75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DDF66E1">
            <w:pPr>
              <w:spacing w:line="300" w:lineRule="exact"/>
              <w:jc w:val="left"/>
              <w:rPr>
                <w:rFonts w:hint="eastAsia" w:ascii="方正书宋_GBK" w:eastAsia="方正书宋_GBK"/>
              </w:rPr>
            </w:pPr>
            <w:r>
              <w:rPr>
                <w:rFonts w:hint="eastAsia" w:ascii="方正书宋_GBK" w:eastAsia="方正书宋_GBK"/>
              </w:rPr>
              <w:t>业务保障能力提升情况</w:t>
            </w:r>
          </w:p>
        </w:tc>
        <w:tc>
          <w:tcPr>
            <w:tcW w:w="2891" w:type="dxa"/>
            <w:shd w:val="clear" w:color="auto" w:fill="auto"/>
            <w:vAlign w:val="center"/>
          </w:tcPr>
          <w:p w14:paraId="005CC208">
            <w:pPr>
              <w:spacing w:line="300" w:lineRule="exact"/>
              <w:jc w:val="left"/>
              <w:rPr>
                <w:rFonts w:ascii="方正书宋_GBK" w:eastAsia="方正书宋_GBK"/>
              </w:rPr>
            </w:pPr>
            <w:r>
              <w:rPr>
                <w:rFonts w:hint="eastAsia" w:ascii="方正书宋_GBK" w:eastAsia="方正书宋_GBK"/>
              </w:rPr>
              <w:t>业务装备配备水平进一步提升，保障审判工作能力进一步提升</w:t>
            </w:r>
          </w:p>
        </w:tc>
        <w:tc>
          <w:tcPr>
            <w:tcW w:w="1276" w:type="dxa"/>
            <w:shd w:val="clear" w:color="auto" w:fill="auto"/>
            <w:vAlign w:val="center"/>
          </w:tcPr>
          <w:p w14:paraId="65F88970">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14:paraId="7B6CB3DC">
            <w:pPr>
              <w:spacing w:line="300" w:lineRule="exact"/>
              <w:jc w:val="left"/>
              <w:rPr>
                <w:rFonts w:hint="eastAsia" w:ascii="方正书宋_GBK" w:eastAsia="方正书宋_GBK"/>
              </w:rPr>
            </w:pPr>
            <w:r>
              <w:rPr>
                <w:rFonts w:hint="eastAsia" w:ascii="方正书宋_GBK" w:eastAsia="方正书宋_GBK"/>
              </w:rPr>
              <w:t>工历史数据</w:t>
            </w:r>
          </w:p>
        </w:tc>
      </w:tr>
      <w:tr w14:paraId="3167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739B96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095EA3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7B3917D">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64BF29EB">
            <w:pPr>
              <w:spacing w:line="300" w:lineRule="exact"/>
              <w:jc w:val="left"/>
              <w:rPr>
                <w:rFonts w:ascii="方正书宋_GBK" w:eastAsia="方正书宋_GBK"/>
              </w:rPr>
            </w:pPr>
            <w:r>
              <w:rPr>
                <w:rFonts w:hint="eastAsia" w:ascii="方正书宋_GBK" w:eastAsia="方正书宋_GBK"/>
              </w:rPr>
              <w:t>调查中满意和较满意人数占调查总数的比例</w:t>
            </w:r>
          </w:p>
        </w:tc>
        <w:tc>
          <w:tcPr>
            <w:tcW w:w="1276" w:type="dxa"/>
            <w:shd w:val="clear" w:color="auto" w:fill="auto"/>
            <w:vAlign w:val="center"/>
          </w:tcPr>
          <w:p w14:paraId="35AB13A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44CAA810">
            <w:pPr>
              <w:spacing w:line="300" w:lineRule="exact"/>
              <w:jc w:val="left"/>
              <w:rPr>
                <w:rFonts w:hint="eastAsia" w:ascii="方正书宋_GBK" w:eastAsia="方正书宋_GBK"/>
              </w:rPr>
            </w:pPr>
            <w:r>
              <w:rPr>
                <w:rFonts w:hint="eastAsia" w:ascii="方正书宋_GBK" w:eastAsia="方正书宋_GBK"/>
              </w:rPr>
              <w:t>调查问卷</w:t>
            </w:r>
          </w:p>
        </w:tc>
      </w:tr>
    </w:tbl>
    <w:p w14:paraId="78391B6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49C5C5B">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0C9EC7F1">
      <w:pPr>
        <w:ind w:firstLine="640" w:firstLineChars="200"/>
        <w:outlineLvl w:val="0"/>
        <w:rPr>
          <w:rFonts w:ascii="Times New Roman" w:hAnsi="Times New Roman" w:eastAsia="仿宋" w:cs="Times New Roman"/>
          <w:sz w:val="32"/>
          <w:szCs w:val="24"/>
        </w:rPr>
      </w:pPr>
      <w:bookmarkStart w:id="7"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306.41</w:t>
      </w:r>
      <w:r>
        <w:rPr>
          <w:rFonts w:ascii="Times New Roman" w:hAnsi="Times New Roman" w:eastAsia="仿宋" w:cs="Times New Roman"/>
          <w:sz w:val="32"/>
          <w:szCs w:val="24"/>
        </w:rPr>
        <w:t>万元。具体内容见下表。</w:t>
      </w:r>
      <w:bookmarkEnd w:id="7"/>
    </w:p>
    <w:p w14:paraId="0F8C538B">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8" w:name="_Toc28848395"/>
      <w:r>
        <w:rPr>
          <w:rFonts w:hint="eastAsia" w:ascii="方正小标宋_GBK" w:eastAsia="方正小标宋_GBK"/>
          <w:sz w:val="32"/>
        </w:rPr>
        <w:instrText xml:space="preserve">部门政府采购预算</w:instrText>
      </w:r>
      <w:bookmarkEnd w:id="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284D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2B871C7B">
            <w:pPr>
              <w:spacing w:line="300" w:lineRule="exact"/>
              <w:jc w:val="left"/>
              <w:rPr>
                <w:rFonts w:ascii="方正小标宋_GBK" w:eastAsia="方正小标宋_GBK"/>
                <w:sz w:val="24"/>
              </w:rPr>
            </w:pPr>
            <w:r>
              <w:rPr>
                <w:rFonts w:hint="eastAsia" w:ascii="方正小标宋_GBK" w:eastAsia="方正小标宋_GBK"/>
                <w:sz w:val="24"/>
              </w:rPr>
              <w:t>161石家庄市鹿泉区人民法院</w:t>
            </w:r>
          </w:p>
        </w:tc>
        <w:tc>
          <w:tcPr>
            <w:tcW w:w="5854" w:type="dxa"/>
            <w:gridSpan w:val="6"/>
            <w:tcBorders>
              <w:top w:val="single" w:color="FFFFFF" w:sz="6" w:space="0"/>
              <w:left w:val="single" w:color="FFFFFF" w:sz="6" w:space="0"/>
              <w:right w:val="single" w:color="FFFFFF" w:sz="6" w:space="0"/>
            </w:tcBorders>
            <w:vAlign w:val="center"/>
          </w:tcPr>
          <w:p w14:paraId="73CA4402">
            <w:pPr>
              <w:spacing w:line="300" w:lineRule="exact"/>
              <w:jc w:val="right"/>
              <w:rPr>
                <w:rFonts w:ascii="方正书宋_GBK" w:eastAsia="方正书宋_GBK"/>
                <w:sz w:val="24"/>
              </w:rPr>
            </w:pPr>
            <w:r>
              <w:rPr>
                <w:rFonts w:hint="eastAsia" w:ascii="方正书宋_GBK" w:eastAsia="方正书宋_GBK"/>
                <w:sz w:val="24"/>
              </w:rPr>
              <w:t>单位：万元</w:t>
            </w:r>
          </w:p>
        </w:tc>
      </w:tr>
      <w:tr w14:paraId="6123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515AFF4C">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49C54DFD">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77C5D742">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1CEFCB24">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7FB3EA66">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65B48689">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756D9D9D">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4CDBA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75A698F4">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2195EF37">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51D69954">
            <w:pPr>
              <w:spacing w:line="300" w:lineRule="exact"/>
              <w:jc w:val="left"/>
              <w:outlineLvl w:val="0"/>
              <w:rPr>
                <w:rFonts w:ascii="Times New Roman" w:eastAsia="方正仿宋_GBK"/>
                <w:sz w:val="28"/>
              </w:rPr>
            </w:pPr>
          </w:p>
        </w:tc>
        <w:tc>
          <w:tcPr>
            <w:tcW w:w="1417" w:type="dxa"/>
            <w:vMerge w:val="continue"/>
            <w:vAlign w:val="center"/>
          </w:tcPr>
          <w:p w14:paraId="74EC9880">
            <w:pPr>
              <w:spacing w:line="300" w:lineRule="exact"/>
              <w:jc w:val="left"/>
              <w:outlineLvl w:val="0"/>
              <w:rPr>
                <w:rFonts w:ascii="Times New Roman" w:eastAsia="方正仿宋_GBK"/>
                <w:sz w:val="28"/>
              </w:rPr>
            </w:pPr>
          </w:p>
        </w:tc>
        <w:tc>
          <w:tcPr>
            <w:tcW w:w="709" w:type="dxa"/>
            <w:vMerge w:val="continue"/>
            <w:vAlign w:val="center"/>
          </w:tcPr>
          <w:p w14:paraId="67D78891">
            <w:pPr>
              <w:spacing w:line="300" w:lineRule="exact"/>
              <w:jc w:val="left"/>
              <w:outlineLvl w:val="0"/>
              <w:rPr>
                <w:rFonts w:ascii="Times New Roman" w:eastAsia="方正仿宋_GBK"/>
                <w:sz w:val="28"/>
              </w:rPr>
            </w:pPr>
          </w:p>
        </w:tc>
        <w:tc>
          <w:tcPr>
            <w:tcW w:w="851" w:type="dxa"/>
            <w:vMerge w:val="continue"/>
            <w:vAlign w:val="center"/>
          </w:tcPr>
          <w:p w14:paraId="2C8F58ED">
            <w:pPr>
              <w:spacing w:line="300" w:lineRule="exact"/>
              <w:jc w:val="left"/>
              <w:outlineLvl w:val="0"/>
              <w:rPr>
                <w:rFonts w:ascii="Times New Roman" w:eastAsia="方正仿宋_GBK"/>
                <w:sz w:val="28"/>
              </w:rPr>
            </w:pPr>
          </w:p>
        </w:tc>
        <w:tc>
          <w:tcPr>
            <w:tcW w:w="992" w:type="dxa"/>
            <w:vMerge w:val="continue"/>
            <w:vAlign w:val="center"/>
          </w:tcPr>
          <w:p w14:paraId="1C2C9464">
            <w:pPr>
              <w:spacing w:line="300" w:lineRule="exact"/>
              <w:jc w:val="left"/>
              <w:outlineLvl w:val="0"/>
              <w:rPr>
                <w:rFonts w:ascii="Times New Roman" w:eastAsia="方正仿宋_GBK"/>
                <w:sz w:val="28"/>
              </w:rPr>
            </w:pPr>
          </w:p>
        </w:tc>
        <w:tc>
          <w:tcPr>
            <w:tcW w:w="992" w:type="dxa"/>
            <w:vAlign w:val="center"/>
          </w:tcPr>
          <w:p w14:paraId="29061139">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694C65A6">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7ADC1DF3">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4BCF69D4">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5EDA8852">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391B3A38">
            <w:pPr>
              <w:spacing w:line="300" w:lineRule="exact"/>
              <w:jc w:val="center"/>
              <w:rPr>
                <w:rFonts w:ascii="方正书宋_GBK" w:eastAsia="方正书宋_GBK"/>
                <w:b/>
              </w:rPr>
            </w:pPr>
            <w:r>
              <w:rPr>
                <w:rFonts w:hint="eastAsia" w:ascii="方正书宋_GBK" w:eastAsia="方正书宋_GBK"/>
                <w:b/>
              </w:rPr>
              <w:t>其他来源收入</w:t>
            </w:r>
          </w:p>
        </w:tc>
      </w:tr>
      <w:tr w14:paraId="4D96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0D62FE9">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46F9060E">
            <w:pPr>
              <w:spacing w:line="300" w:lineRule="exact"/>
              <w:jc w:val="right"/>
              <w:rPr>
                <w:rFonts w:ascii="方正书宋_GBK" w:eastAsia="方正书宋_GBK"/>
                <w:b/>
              </w:rPr>
            </w:pPr>
          </w:p>
        </w:tc>
        <w:tc>
          <w:tcPr>
            <w:tcW w:w="1559" w:type="dxa"/>
            <w:vAlign w:val="center"/>
          </w:tcPr>
          <w:p w14:paraId="70D0FBB4">
            <w:pPr>
              <w:spacing w:line="300" w:lineRule="exact"/>
              <w:jc w:val="left"/>
              <w:rPr>
                <w:rFonts w:ascii="方正书宋_GBK" w:eastAsia="方正书宋_GBK"/>
                <w:b/>
              </w:rPr>
            </w:pPr>
          </w:p>
        </w:tc>
        <w:tc>
          <w:tcPr>
            <w:tcW w:w="1417" w:type="dxa"/>
            <w:vAlign w:val="center"/>
          </w:tcPr>
          <w:p w14:paraId="5841A56F">
            <w:pPr>
              <w:spacing w:line="300" w:lineRule="exact"/>
              <w:jc w:val="left"/>
              <w:rPr>
                <w:rFonts w:ascii="方正书宋_GBK" w:eastAsia="方正书宋_GBK"/>
                <w:b/>
              </w:rPr>
            </w:pPr>
          </w:p>
        </w:tc>
        <w:tc>
          <w:tcPr>
            <w:tcW w:w="709" w:type="dxa"/>
            <w:vAlign w:val="center"/>
          </w:tcPr>
          <w:p w14:paraId="50011521">
            <w:pPr>
              <w:spacing w:line="300" w:lineRule="exact"/>
              <w:jc w:val="left"/>
              <w:rPr>
                <w:rFonts w:ascii="方正书宋_GBK" w:eastAsia="方正书宋_GBK"/>
                <w:b/>
              </w:rPr>
            </w:pPr>
          </w:p>
        </w:tc>
        <w:tc>
          <w:tcPr>
            <w:tcW w:w="851" w:type="dxa"/>
            <w:vAlign w:val="center"/>
          </w:tcPr>
          <w:p w14:paraId="64942617">
            <w:pPr>
              <w:spacing w:line="300" w:lineRule="exact"/>
              <w:jc w:val="right"/>
              <w:rPr>
                <w:rFonts w:ascii="方正书宋_GBK" w:eastAsia="方正书宋_GBK"/>
                <w:b/>
              </w:rPr>
            </w:pPr>
          </w:p>
        </w:tc>
        <w:tc>
          <w:tcPr>
            <w:tcW w:w="992" w:type="dxa"/>
            <w:vAlign w:val="center"/>
          </w:tcPr>
          <w:p w14:paraId="036CD07F">
            <w:pPr>
              <w:spacing w:line="300" w:lineRule="exact"/>
              <w:jc w:val="right"/>
              <w:rPr>
                <w:rFonts w:ascii="方正书宋_GBK" w:eastAsia="方正书宋_GBK"/>
                <w:b/>
              </w:rPr>
            </w:pPr>
          </w:p>
        </w:tc>
        <w:tc>
          <w:tcPr>
            <w:tcW w:w="992" w:type="dxa"/>
            <w:vAlign w:val="center"/>
          </w:tcPr>
          <w:p w14:paraId="6D57073F">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306.41</w:t>
            </w:r>
          </w:p>
        </w:tc>
        <w:tc>
          <w:tcPr>
            <w:tcW w:w="992" w:type="dxa"/>
            <w:vAlign w:val="center"/>
          </w:tcPr>
          <w:p w14:paraId="103FC008">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306.41</w:t>
            </w:r>
          </w:p>
        </w:tc>
        <w:tc>
          <w:tcPr>
            <w:tcW w:w="993" w:type="dxa"/>
            <w:vAlign w:val="center"/>
          </w:tcPr>
          <w:p w14:paraId="780C25D3">
            <w:pPr>
              <w:spacing w:line="300" w:lineRule="exact"/>
              <w:jc w:val="right"/>
              <w:rPr>
                <w:rFonts w:ascii="方正书宋_GBK" w:eastAsia="方正书宋_GBK"/>
                <w:b/>
              </w:rPr>
            </w:pPr>
          </w:p>
        </w:tc>
        <w:tc>
          <w:tcPr>
            <w:tcW w:w="1134" w:type="dxa"/>
            <w:vAlign w:val="center"/>
          </w:tcPr>
          <w:p w14:paraId="26CD2877">
            <w:pPr>
              <w:spacing w:line="300" w:lineRule="exact"/>
              <w:jc w:val="right"/>
              <w:rPr>
                <w:rFonts w:ascii="方正书宋_GBK" w:eastAsia="方正书宋_GBK"/>
                <w:b/>
              </w:rPr>
            </w:pPr>
          </w:p>
        </w:tc>
        <w:tc>
          <w:tcPr>
            <w:tcW w:w="850" w:type="dxa"/>
            <w:vAlign w:val="center"/>
          </w:tcPr>
          <w:p w14:paraId="0A0BEE40">
            <w:pPr>
              <w:spacing w:line="300" w:lineRule="exact"/>
              <w:jc w:val="right"/>
              <w:rPr>
                <w:rFonts w:ascii="方正书宋_GBK" w:eastAsia="方正书宋_GBK"/>
                <w:b/>
              </w:rPr>
            </w:pPr>
          </w:p>
        </w:tc>
        <w:tc>
          <w:tcPr>
            <w:tcW w:w="893" w:type="dxa"/>
            <w:vAlign w:val="center"/>
          </w:tcPr>
          <w:p w14:paraId="62A2A35B">
            <w:pPr>
              <w:spacing w:line="300" w:lineRule="exact"/>
              <w:jc w:val="right"/>
              <w:rPr>
                <w:rFonts w:ascii="方正书宋_GBK" w:eastAsia="方正书宋_GBK"/>
                <w:b/>
              </w:rPr>
            </w:pPr>
          </w:p>
        </w:tc>
      </w:tr>
      <w:tr w14:paraId="2185B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B24A18C">
            <w:pPr>
              <w:spacing w:line="300" w:lineRule="exact"/>
              <w:jc w:val="center"/>
              <w:rPr>
                <w:rFonts w:ascii="方正书宋_GBK" w:eastAsia="方正书宋_GBK"/>
                <w:b/>
              </w:rPr>
            </w:pPr>
            <w:r>
              <w:rPr>
                <w:rFonts w:hint="eastAsia" w:ascii="方正书宋_GBK" w:eastAsia="方正书宋_GBK"/>
                <w:b/>
              </w:rPr>
              <w:t>法院信息化网络安全建设</w:t>
            </w:r>
          </w:p>
        </w:tc>
        <w:tc>
          <w:tcPr>
            <w:tcW w:w="1134" w:type="dxa"/>
            <w:vAlign w:val="center"/>
          </w:tcPr>
          <w:p w14:paraId="5490E6DA">
            <w:pPr>
              <w:spacing w:line="300" w:lineRule="exact"/>
              <w:jc w:val="right"/>
              <w:rPr>
                <w:rFonts w:ascii="方正书宋_GBK" w:eastAsia="方正书宋_GBK"/>
                <w:b/>
              </w:rPr>
            </w:pPr>
            <w:r>
              <w:rPr>
                <w:rFonts w:hint="eastAsia" w:ascii="方正书宋_GBK" w:eastAsia="方正书宋_GBK"/>
                <w:b/>
              </w:rPr>
              <w:t>70</w:t>
            </w:r>
          </w:p>
        </w:tc>
        <w:tc>
          <w:tcPr>
            <w:tcW w:w="1559" w:type="dxa"/>
            <w:vAlign w:val="center"/>
          </w:tcPr>
          <w:p w14:paraId="316EBB0B">
            <w:pPr>
              <w:spacing w:line="300" w:lineRule="exact"/>
              <w:jc w:val="left"/>
              <w:rPr>
                <w:rFonts w:ascii="方正书宋_GBK" w:eastAsia="方正书宋_GBK"/>
                <w:b/>
              </w:rPr>
            </w:pPr>
            <w:r>
              <w:rPr>
                <w:rFonts w:hint="eastAsia" w:ascii="方正书宋_GBK" w:eastAsia="方正书宋_GBK"/>
                <w:b/>
              </w:rPr>
              <w:t>其他机房辅助设备</w:t>
            </w:r>
          </w:p>
        </w:tc>
        <w:tc>
          <w:tcPr>
            <w:tcW w:w="1417" w:type="dxa"/>
            <w:vAlign w:val="center"/>
          </w:tcPr>
          <w:p w14:paraId="72875387">
            <w:pPr>
              <w:spacing w:line="300" w:lineRule="exact"/>
              <w:jc w:val="left"/>
              <w:rPr>
                <w:rFonts w:ascii="方正书宋_GBK" w:eastAsia="方正书宋_GBK"/>
                <w:b/>
              </w:rPr>
            </w:pPr>
            <w:r>
              <w:rPr>
                <w:rFonts w:hint="eastAsia" w:ascii="方正书宋_GBK" w:eastAsia="方正书宋_GBK"/>
                <w:b/>
              </w:rPr>
              <w:t>A02010799</w:t>
            </w:r>
          </w:p>
        </w:tc>
        <w:tc>
          <w:tcPr>
            <w:tcW w:w="709" w:type="dxa"/>
            <w:vAlign w:val="center"/>
          </w:tcPr>
          <w:p w14:paraId="396EC850">
            <w:pPr>
              <w:spacing w:line="300" w:lineRule="exact"/>
              <w:jc w:val="left"/>
              <w:rPr>
                <w:rFonts w:ascii="方正书宋_GBK" w:eastAsia="方正书宋_GBK"/>
                <w:b/>
              </w:rPr>
            </w:pPr>
            <w:r>
              <w:rPr>
                <w:rFonts w:hint="eastAsia" w:ascii="方正书宋_GBK" w:eastAsia="方正书宋_GBK"/>
                <w:b/>
              </w:rPr>
              <w:t>套</w:t>
            </w:r>
          </w:p>
        </w:tc>
        <w:tc>
          <w:tcPr>
            <w:tcW w:w="851" w:type="dxa"/>
            <w:vAlign w:val="center"/>
          </w:tcPr>
          <w:p w14:paraId="7EF9B9CE">
            <w:pPr>
              <w:spacing w:line="300" w:lineRule="exact"/>
              <w:jc w:val="right"/>
              <w:rPr>
                <w:rFonts w:ascii="方正书宋_GBK" w:eastAsia="方正书宋_GBK"/>
                <w:b/>
              </w:rPr>
            </w:pPr>
            <w:r>
              <w:rPr>
                <w:rFonts w:hint="eastAsia" w:ascii="方正书宋_GBK" w:eastAsia="方正书宋_GBK"/>
                <w:b/>
              </w:rPr>
              <w:t>1</w:t>
            </w:r>
          </w:p>
        </w:tc>
        <w:tc>
          <w:tcPr>
            <w:tcW w:w="992" w:type="dxa"/>
            <w:vAlign w:val="center"/>
          </w:tcPr>
          <w:p w14:paraId="656C9FC9">
            <w:pPr>
              <w:spacing w:line="300" w:lineRule="exact"/>
              <w:jc w:val="right"/>
              <w:rPr>
                <w:rFonts w:ascii="方正书宋_GBK" w:eastAsia="方正书宋_GBK"/>
                <w:b/>
              </w:rPr>
            </w:pPr>
            <w:r>
              <w:rPr>
                <w:rFonts w:hint="eastAsia" w:ascii="方正书宋_GBK" w:eastAsia="方正书宋_GBK"/>
                <w:b/>
              </w:rPr>
              <w:t>70</w:t>
            </w:r>
          </w:p>
        </w:tc>
        <w:tc>
          <w:tcPr>
            <w:tcW w:w="992" w:type="dxa"/>
            <w:vAlign w:val="center"/>
          </w:tcPr>
          <w:p w14:paraId="3228BA2A">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70</w:t>
            </w:r>
          </w:p>
        </w:tc>
        <w:tc>
          <w:tcPr>
            <w:tcW w:w="992" w:type="dxa"/>
            <w:vAlign w:val="center"/>
          </w:tcPr>
          <w:p w14:paraId="16E939E8">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70</w:t>
            </w:r>
          </w:p>
        </w:tc>
        <w:tc>
          <w:tcPr>
            <w:tcW w:w="993" w:type="dxa"/>
            <w:vAlign w:val="center"/>
          </w:tcPr>
          <w:p w14:paraId="31F3A460">
            <w:pPr>
              <w:spacing w:line="300" w:lineRule="exact"/>
              <w:jc w:val="right"/>
              <w:rPr>
                <w:rFonts w:ascii="方正书宋_GBK" w:eastAsia="方正书宋_GBK"/>
                <w:b/>
              </w:rPr>
            </w:pPr>
          </w:p>
        </w:tc>
        <w:tc>
          <w:tcPr>
            <w:tcW w:w="1134" w:type="dxa"/>
            <w:vAlign w:val="center"/>
          </w:tcPr>
          <w:p w14:paraId="0B321109">
            <w:pPr>
              <w:spacing w:line="300" w:lineRule="exact"/>
              <w:jc w:val="right"/>
              <w:rPr>
                <w:rFonts w:ascii="方正书宋_GBK" w:eastAsia="方正书宋_GBK"/>
                <w:b/>
              </w:rPr>
            </w:pPr>
          </w:p>
        </w:tc>
        <w:tc>
          <w:tcPr>
            <w:tcW w:w="850" w:type="dxa"/>
            <w:vAlign w:val="center"/>
          </w:tcPr>
          <w:p w14:paraId="69A0023F">
            <w:pPr>
              <w:spacing w:line="300" w:lineRule="exact"/>
              <w:jc w:val="right"/>
              <w:rPr>
                <w:rFonts w:ascii="方正书宋_GBK" w:eastAsia="方正书宋_GBK"/>
                <w:b/>
              </w:rPr>
            </w:pPr>
          </w:p>
        </w:tc>
        <w:tc>
          <w:tcPr>
            <w:tcW w:w="893" w:type="dxa"/>
            <w:vAlign w:val="center"/>
          </w:tcPr>
          <w:p w14:paraId="47DB2D43">
            <w:pPr>
              <w:spacing w:line="300" w:lineRule="exact"/>
              <w:jc w:val="right"/>
              <w:rPr>
                <w:rFonts w:ascii="方正书宋_GBK" w:eastAsia="方正书宋_GBK"/>
                <w:b/>
              </w:rPr>
            </w:pPr>
          </w:p>
        </w:tc>
      </w:tr>
      <w:tr w14:paraId="4137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7ADAEA9">
            <w:pPr>
              <w:spacing w:line="300" w:lineRule="exact"/>
              <w:jc w:val="left"/>
              <w:rPr>
                <w:rFonts w:ascii="方正书宋_GBK" w:eastAsia="方正书宋_GBK"/>
              </w:rPr>
            </w:pPr>
            <w:r>
              <w:rPr>
                <w:rFonts w:hint="eastAsia" w:ascii="方正书宋_GBK" w:eastAsia="方正书宋_GBK"/>
              </w:rPr>
              <w:t>法院业务经费</w:t>
            </w:r>
          </w:p>
        </w:tc>
        <w:tc>
          <w:tcPr>
            <w:tcW w:w="1134" w:type="dxa"/>
            <w:vAlign w:val="center"/>
          </w:tcPr>
          <w:p w14:paraId="52CD95B7">
            <w:pPr>
              <w:spacing w:line="300" w:lineRule="exact"/>
              <w:jc w:val="right"/>
              <w:rPr>
                <w:rFonts w:ascii="方正书宋_GBK" w:eastAsia="方正书宋_GBK"/>
              </w:rPr>
            </w:pPr>
            <w:r>
              <w:rPr>
                <w:rFonts w:hint="eastAsia" w:ascii="方正书宋_GBK" w:eastAsia="方正书宋_GBK"/>
              </w:rPr>
              <w:t>150</w:t>
            </w:r>
          </w:p>
        </w:tc>
        <w:tc>
          <w:tcPr>
            <w:tcW w:w="1559" w:type="dxa"/>
            <w:vAlign w:val="center"/>
          </w:tcPr>
          <w:p w14:paraId="50B3019C">
            <w:pPr>
              <w:spacing w:line="300" w:lineRule="exact"/>
              <w:jc w:val="left"/>
              <w:rPr>
                <w:rFonts w:ascii="方正书宋_GBK" w:eastAsia="方正书宋_GBK"/>
              </w:rPr>
            </w:pPr>
            <w:r>
              <w:rPr>
                <w:rFonts w:hint="eastAsia" w:ascii="方正书宋_GBK" w:eastAsia="方正书宋_GBK"/>
              </w:rPr>
              <w:t>其他计算机设备</w:t>
            </w:r>
          </w:p>
        </w:tc>
        <w:tc>
          <w:tcPr>
            <w:tcW w:w="1417" w:type="dxa"/>
            <w:vAlign w:val="center"/>
          </w:tcPr>
          <w:p w14:paraId="16C9A823">
            <w:pPr>
              <w:spacing w:line="300" w:lineRule="exact"/>
              <w:jc w:val="left"/>
              <w:rPr>
                <w:rFonts w:ascii="方正书宋_GBK" w:eastAsia="方正书宋_GBK"/>
              </w:rPr>
            </w:pPr>
            <w:r>
              <w:rPr>
                <w:rFonts w:hint="eastAsia" w:ascii="方正书宋_GBK" w:eastAsia="方正书宋_GBK"/>
              </w:rPr>
              <w:t>A02010199</w:t>
            </w:r>
          </w:p>
        </w:tc>
        <w:tc>
          <w:tcPr>
            <w:tcW w:w="709" w:type="dxa"/>
            <w:vAlign w:val="center"/>
          </w:tcPr>
          <w:p w14:paraId="135BF58D">
            <w:pPr>
              <w:spacing w:line="300" w:lineRule="exact"/>
              <w:jc w:val="left"/>
              <w:rPr>
                <w:rFonts w:ascii="方正书宋_GBK" w:eastAsia="方正书宋_GBK"/>
              </w:rPr>
            </w:pPr>
            <w:r>
              <w:rPr>
                <w:rFonts w:hint="eastAsia" w:ascii="方正书宋_GBK" w:eastAsia="方正书宋_GBK"/>
              </w:rPr>
              <w:t>套</w:t>
            </w:r>
          </w:p>
        </w:tc>
        <w:tc>
          <w:tcPr>
            <w:tcW w:w="851" w:type="dxa"/>
            <w:vAlign w:val="center"/>
          </w:tcPr>
          <w:p w14:paraId="3A5B569A">
            <w:pPr>
              <w:spacing w:line="300" w:lineRule="exact"/>
              <w:jc w:val="right"/>
              <w:rPr>
                <w:rFonts w:ascii="方正书宋_GBK" w:eastAsia="方正书宋_GBK"/>
              </w:rPr>
            </w:pPr>
            <w:r>
              <w:rPr>
                <w:rFonts w:hint="eastAsia" w:ascii="方正书宋_GBK" w:eastAsia="方正书宋_GBK"/>
              </w:rPr>
              <w:t>1</w:t>
            </w:r>
          </w:p>
        </w:tc>
        <w:tc>
          <w:tcPr>
            <w:tcW w:w="992" w:type="dxa"/>
            <w:vAlign w:val="center"/>
          </w:tcPr>
          <w:p w14:paraId="5E3A5C28">
            <w:pPr>
              <w:spacing w:line="300" w:lineRule="exact"/>
              <w:jc w:val="right"/>
              <w:rPr>
                <w:rFonts w:ascii="方正书宋_GBK" w:eastAsia="方正书宋_GBK"/>
              </w:rPr>
            </w:pPr>
            <w:r>
              <w:rPr>
                <w:rFonts w:hint="eastAsia" w:ascii="方正书宋_GBK" w:eastAsia="方正书宋_GBK"/>
              </w:rPr>
              <w:t>150</w:t>
            </w:r>
          </w:p>
        </w:tc>
        <w:tc>
          <w:tcPr>
            <w:tcW w:w="992" w:type="dxa"/>
            <w:vAlign w:val="center"/>
          </w:tcPr>
          <w:p w14:paraId="2624AD17">
            <w:pPr>
              <w:spacing w:line="300" w:lineRule="exact"/>
              <w:jc w:val="right"/>
              <w:rPr>
                <w:rFonts w:ascii="方正书宋_GBK" w:eastAsia="方正书宋_GBK"/>
              </w:rPr>
            </w:pPr>
            <w:r>
              <w:rPr>
                <w:rFonts w:hint="eastAsia" w:ascii="方正书宋_GBK" w:eastAsia="方正书宋_GBK"/>
              </w:rPr>
              <w:t>150</w:t>
            </w:r>
          </w:p>
        </w:tc>
        <w:tc>
          <w:tcPr>
            <w:tcW w:w="992" w:type="dxa"/>
            <w:vAlign w:val="center"/>
          </w:tcPr>
          <w:p w14:paraId="73CA4457">
            <w:pPr>
              <w:spacing w:line="300" w:lineRule="exact"/>
              <w:jc w:val="right"/>
              <w:rPr>
                <w:rFonts w:ascii="方正书宋_GBK" w:eastAsia="方正书宋_GBK"/>
              </w:rPr>
            </w:pPr>
            <w:r>
              <w:rPr>
                <w:rFonts w:hint="eastAsia" w:ascii="方正书宋_GBK" w:eastAsia="方正书宋_GBK"/>
              </w:rPr>
              <w:t>150</w:t>
            </w:r>
          </w:p>
        </w:tc>
        <w:tc>
          <w:tcPr>
            <w:tcW w:w="993" w:type="dxa"/>
            <w:vAlign w:val="center"/>
          </w:tcPr>
          <w:p w14:paraId="3461AB9E">
            <w:pPr>
              <w:spacing w:line="300" w:lineRule="exact"/>
              <w:jc w:val="right"/>
              <w:rPr>
                <w:rFonts w:ascii="方正书宋_GBK" w:eastAsia="方正书宋_GBK"/>
              </w:rPr>
            </w:pPr>
          </w:p>
        </w:tc>
        <w:tc>
          <w:tcPr>
            <w:tcW w:w="1134" w:type="dxa"/>
            <w:vAlign w:val="center"/>
          </w:tcPr>
          <w:p w14:paraId="3E7E41FE">
            <w:pPr>
              <w:spacing w:line="300" w:lineRule="exact"/>
              <w:jc w:val="right"/>
              <w:rPr>
                <w:rFonts w:ascii="方正书宋_GBK" w:eastAsia="方正书宋_GBK"/>
              </w:rPr>
            </w:pPr>
          </w:p>
        </w:tc>
        <w:tc>
          <w:tcPr>
            <w:tcW w:w="850" w:type="dxa"/>
            <w:vAlign w:val="center"/>
          </w:tcPr>
          <w:p w14:paraId="5F1C7EDF">
            <w:pPr>
              <w:spacing w:line="300" w:lineRule="exact"/>
              <w:jc w:val="right"/>
              <w:rPr>
                <w:rFonts w:ascii="方正书宋_GBK" w:eastAsia="方正书宋_GBK"/>
              </w:rPr>
            </w:pPr>
          </w:p>
        </w:tc>
        <w:tc>
          <w:tcPr>
            <w:tcW w:w="893" w:type="dxa"/>
            <w:vAlign w:val="center"/>
          </w:tcPr>
          <w:p w14:paraId="122A1B28">
            <w:pPr>
              <w:spacing w:line="300" w:lineRule="exact"/>
              <w:jc w:val="right"/>
              <w:rPr>
                <w:rFonts w:ascii="方正书宋_GBK" w:eastAsia="方正书宋_GBK"/>
              </w:rPr>
            </w:pPr>
          </w:p>
        </w:tc>
      </w:tr>
      <w:tr w14:paraId="2709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1158E4C">
            <w:pPr>
              <w:spacing w:line="300" w:lineRule="exact"/>
              <w:jc w:val="left"/>
              <w:rPr>
                <w:rFonts w:ascii="方正书宋_GBK" w:eastAsia="方正书宋_GBK"/>
              </w:rPr>
            </w:pPr>
            <w:r>
              <w:rPr>
                <w:rFonts w:hint="eastAsia" w:ascii="方正书宋_GBK" w:eastAsia="方正书宋_GBK"/>
              </w:rPr>
              <w:t>19年工程项目质保金</w:t>
            </w:r>
          </w:p>
        </w:tc>
        <w:tc>
          <w:tcPr>
            <w:tcW w:w="1134" w:type="dxa"/>
            <w:vAlign w:val="center"/>
          </w:tcPr>
          <w:p w14:paraId="0B1B1C7D">
            <w:pPr>
              <w:spacing w:line="300" w:lineRule="exact"/>
              <w:jc w:val="right"/>
              <w:rPr>
                <w:rFonts w:ascii="方正书宋_GBK" w:eastAsia="方正书宋_GBK"/>
              </w:rPr>
            </w:pPr>
            <w:r>
              <w:rPr>
                <w:rFonts w:hint="eastAsia" w:ascii="方正书宋_GBK" w:eastAsia="方正书宋_GBK"/>
              </w:rPr>
              <w:t>6.41</w:t>
            </w:r>
          </w:p>
        </w:tc>
        <w:tc>
          <w:tcPr>
            <w:tcW w:w="1559" w:type="dxa"/>
            <w:vAlign w:val="center"/>
          </w:tcPr>
          <w:p w14:paraId="55F5713B">
            <w:pPr>
              <w:spacing w:line="300" w:lineRule="exact"/>
              <w:jc w:val="left"/>
              <w:rPr>
                <w:rFonts w:ascii="方正书宋_GBK" w:eastAsia="方正书宋_GBK"/>
              </w:rPr>
            </w:pPr>
            <w:r>
              <w:rPr>
                <w:rFonts w:hint="eastAsia" w:ascii="方正书宋_GBK" w:eastAsia="方正书宋_GBK"/>
              </w:rPr>
              <w:t>其他维修和保养服务</w:t>
            </w:r>
          </w:p>
        </w:tc>
        <w:tc>
          <w:tcPr>
            <w:tcW w:w="1417" w:type="dxa"/>
            <w:vAlign w:val="center"/>
          </w:tcPr>
          <w:p w14:paraId="6DE31639">
            <w:pPr>
              <w:spacing w:line="300" w:lineRule="exact"/>
              <w:jc w:val="left"/>
              <w:rPr>
                <w:rFonts w:ascii="方正书宋_GBK" w:eastAsia="方正书宋_GBK"/>
              </w:rPr>
            </w:pPr>
            <w:r>
              <w:rPr>
                <w:rFonts w:hint="eastAsia" w:ascii="方正书宋_GBK" w:eastAsia="方正书宋_GBK"/>
              </w:rPr>
              <w:t>C0599</w:t>
            </w:r>
          </w:p>
        </w:tc>
        <w:tc>
          <w:tcPr>
            <w:tcW w:w="709" w:type="dxa"/>
            <w:vAlign w:val="center"/>
          </w:tcPr>
          <w:p w14:paraId="60B6CC89">
            <w:pPr>
              <w:spacing w:line="300" w:lineRule="exact"/>
              <w:jc w:val="left"/>
              <w:rPr>
                <w:rFonts w:ascii="方正书宋_GBK" w:eastAsia="方正书宋_GBK"/>
              </w:rPr>
            </w:pPr>
            <w:r>
              <w:rPr>
                <w:rFonts w:hint="eastAsia" w:ascii="方正书宋_GBK" w:eastAsia="方正书宋_GBK"/>
              </w:rPr>
              <w:t>套</w:t>
            </w:r>
          </w:p>
        </w:tc>
        <w:tc>
          <w:tcPr>
            <w:tcW w:w="851" w:type="dxa"/>
            <w:vAlign w:val="center"/>
          </w:tcPr>
          <w:p w14:paraId="1620D067">
            <w:pPr>
              <w:spacing w:line="300" w:lineRule="exact"/>
              <w:jc w:val="right"/>
              <w:rPr>
                <w:rFonts w:ascii="方正书宋_GBK" w:eastAsia="方正书宋_GBK"/>
              </w:rPr>
            </w:pPr>
            <w:r>
              <w:rPr>
                <w:rFonts w:hint="eastAsia" w:ascii="方正书宋_GBK" w:eastAsia="方正书宋_GBK"/>
              </w:rPr>
              <w:t>1</w:t>
            </w:r>
          </w:p>
        </w:tc>
        <w:tc>
          <w:tcPr>
            <w:tcW w:w="992" w:type="dxa"/>
            <w:vAlign w:val="center"/>
          </w:tcPr>
          <w:p w14:paraId="7C5DB3C0">
            <w:pPr>
              <w:spacing w:line="300" w:lineRule="exact"/>
              <w:jc w:val="right"/>
              <w:rPr>
                <w:rFonts w:ascii="方正书宋_GBK" w:eastAsia="方正书宋_GBK"/>
              </w:rPr>
            </w:pPr>
            <w:r>
              <w:rPr>
                <w:rFonts w:hint="eastAsia" w:ascii="方正书宋_GBK" w:eastAsia="方正书宋_GBK"/>
              </w:rPr>
              <w:t>6.41</w:t>
            </w:r>
          </w:p>
        </w:tc>
        <w:tc>
          <w:tcPr>
            <w:tcW w:w="992" w:type="dxa"/>
            <w:vAlign w:val="center"/>
          </w:tcPr>
          <w:p w14:paraId="58EAEDE2">
            <w:pPr>
              <w:spacing w:line="300" w:lineRule="exact"/>
              <w:jc w:val="right"/>
              <w:rPr>
                <w:rFonts w:ascii="方正书宋_GBK" w:eastAsia="方正书宋_GBK"/>
              </w:rPr>
            </w:pPr>
            <w:r>
              <w:rPr>
                <w:rFonts w:hint="eastAsia" w:ascii="方正书宋_GBK" w:eastAsia="方正书宋_GBK"/>
              </w:rPr>
              <w:t>6.41</w:t>
            </w:r>
          </w:p>
        </w:tc>
        <w:tc>
          <w:tcPr>
            <w:tcW w:w="992" w:type="dxa"/>
            <w:vAlign w:val="center"/>
          </w:tcPr>
          <w:p w14:paraId="1B962B47">
            <w:pPr>
              <w:spacing w:line="300" w:lineRule="exact"/>
              <w:jc w:val="right"/>
              <w:rPr>
                <w:rFonts w:ascii="方正书宋_GBK" w:eastAsia="方正书宋_GBK"/>
              </w:rPr>
            </w:pPr>
            <w:r>
              <w:rPr>
                <w:rFonts w:hint="eastAsia" w:ascii="方正书宋_GBK" w:eastAsia="方正书宋_GBK"/>
              </w:rPr>
              <w:t>6.41</w:t>
            </w:r>
          </w:p>
        </w:tc>
        <w:tc>
          <w:tcPr>
            <w:tcW w:w="993" w:type="dxa"/>
            <w:vAlign w:val="center"/>
          </w:tcPr>
          <w:p w14:paraId="11CD4F9C">
            <w:pPr>
              <w:spacing w:line="300" w:lineRule="exact"/>
              <w:jc w:val="right"/>
              <w:rPr>
                <w:rFonts w:ascii="方正书宋_GBK" w:eastAsia="方正书宋_GBK"/>
              </w:rPr>
            </w:pPr>
          </w:p>
        </w:tc>
        <w:tc>
          <w:tcPr>
            <w:tcW w:w="1134" w:type="dxa"/>
            <w:vAlign w:val="center"/>
          </w:tcPr>
          <w:p w14:paraId="7DB84039">
            <w:pPr>
              <w:spacing w:line="300" w:lineRule="exact"/>
              <w:jc w:val="right"/>
              <w:rPr>
                <w:rFonts w:ascii="方正书宋_GBK" w:eastAsia="方正书宋_GBK"/>
              </w:rPr>
            </w:pPr>
          </w:p>
        </w:tc>
        <w:tc>
          <w:tcPr>
            <w:tcW w:w="850" w:type="dxa"/>
            <w:vAlign w:val="center"/>
          </w:tcPr>
          <w:p w14:paraId="2A669F0D">
            <w:pPr>
              <w:spacing w:line="300" w:lineRule="exact"/>
              <w:jc w:val="right"/>
              <w:rPr>
                <w:rFonts w:ascii="方正书宋_GBK" w:eastAsia="方正书宋_GBK"/>
              </w:rPr>
            </w:pPr>
          </w:p>
        </w:tc>
        <w:tc>
          <w:tcPr>
            <w:tcW w:w="893" w:type="dxa"/>
            <w:vAlign w:val="center"/>
          </w:tcPr>
          <w:p w14:paraId="07762531">
            <w:pPr>
              <w:spacing w:line="300" w:lineRule="exact"/>
              <w:jc w:val="right"/>
              <w:rPr>
                <w:rFonts w:ascii="方正书宋_GBK" w:eastAsia="方正书宋_GBK"/>
              </w:rPr>
            </w:pPr>
          </w:p>
        </w:tc>
      </w:tr>
      <w:tr w14:paraId="7A5B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425ED93">
            <w:pPr>
              <w:spacing w:line="300" w:lineRule="exact"/>
              <w:jc w:val="left"/>
              <w:rPr>
                <w:rFonts w:ascii="方正书宋_GBK" w:eastAsia="方正书宋_GBK"/>
              </w:rPr>
            </w:pPr>
            <w:r>
              <w:rPr>
                <w:rFonts w:hint="eastAsia" w:ascii="方正书宋_GBK" w:eastAsia="方正书宋_GBK"/>
              </w:rPr>
              <w:t>关于提前下达2020年法院建设补助资金的通知</w:t>
            </w:r>
          </w:p>
        </w:tc>
        <w:tc>
          <w:tcPr>
            <w:tcW w:w="1134" w:type="dxa"/>
            <w:vAlign w:val="center"/>
          </w:tcPr>
          <w:p w14:paraId="0C98861C">
            <w:pPr>
              <w:spacing w:line="300" w:lineRule="exact"/>
              <w:jc w:val="right"/>
              <w:rPr>
                <w:rFonts w:ascii="方正书宋_GBK" w:eastAsia="方正书宋_GBK"/>
              </w:rPr>
            </w:pPr>
            <w:r>
              <w:rPr>
                <w:rFonts w:hint="eastAsia" w:ascii="方正书宋_GBK" w:eastAsia="方正书宋_GBK"/>
              </w:rPr>
              <w:t>80</w:t>
            </w:r>
          </w:p>
        </w:tc>
        <w:tc>
          <w:tcPr>
            <w:tcW w:w="1559" w:type="dxa"/>
            <w:vAlign w:val="center"/>
          </w:tcPr>
          <w:p w14:paraId="14BE929B">
            <w:pPr>
              <w:spacing w:line="300" w:lineRule="exact"/>
              <w:jc w:val="left"/>
              <w:rPr>
                <w:rFonts w:ascii="方正书宋_GBK" w:eastAsia="方正书宋_GBK"/>
              </w:rPr>
            </w:pPr>
            <w:r>
              <w:rPr>
                <w:rFonts w:hint="eastAsia" w:ascii="方正书宋_GBK" w:eastAsia="方正书宋_GBK"/>
              </w:rPr>
              <w:t>多功能一体机</w:t>
            </w:r>
          </w:p>
        </w:tc>
        <w:tc>
          <w:tcPr>
            <w:tcW w:w="1417" w:type="dxa"/>
            <w:vAlign w:val="center"/>
          </w:tcPr>
          <w:p w14:paraId="5F39818D">
            <w:pPr>
              <w:spacing w:line="300" w:lineRule="exact"/>
              <w:jc w:val="left"/>
              <w:rPr>
                <w:rFonts w:ascii="方正书宋_GBK" w:eastAsia="方正书宋_GBK"/>
              </w:rPr>
            </w:pPr>
            <w:r>
              <w:rPr>
                <w:rFonts w:hint="eastAsia" w:ascii="方正书宋_GBK" w:eastAsia="方正书宋_GBK"/>
              </w:rPr>
              <w:t>A020204</w:t>
            </w:r>
          </w:p>
        </w:tc>
        <w:tc>
          <w:tcPr>
            <w:tcW w:w="709" w:type="dxa"/>
            <w:vAlign w:val="center"/>
          </w:tcPr>
          <w:p w14:paraId="08B44617">
            <w:pPr>
              <w:spacing w:line="300" w:lineRule="exact"/>
              <w:jc w:val="left"/>
              <w:rPr>
                <w:rFonts w:ascii="方正书宋_GBK" w:eastAsia="方正书宋_GBK"/>
              </w:rPr>
            </w:pPr>
            <w:r>
              <w:rPr>
                <w:rFonts w:hint="eastAsia" w:ascii="方正书宋_GBK" w:eastAsia="方正书宋_GBK"/>
              </w:rPr>
              <w:t>套</w:t>
            </w:r>
          </w:p>
        </w:tc>
        <w:tc>
          <w:tcPr>
            <w:tcW w:w="851" w:type="dxa"/>
            <w:vAlign w:val="center"/>
          </w:tcPr>
          <w:p w14:paraId="73849A6B">
            <w:pPr>
              <w:spacing w:line="300" w:lineRule="exact"/>
              <w:jc w:val="right"/>
              <w:rPr>
                <w:rFonts w:ascii="方正书宋_GBK" w:eastAsia="方正书宋_GBK"/>
              </w:rPr>
            </w:pPr>
            <w:r>
              <w:rPr>
                <w:rFonts w:hint="eastAsia" w:ascii="方正书宋_GBK" w:eastAsia="方正书宋_GBK"/>
              </w:rPr>
              <w:t>1</w:t>
            </w:r>
          </w:p>
        </w:tc>
        <w:tc>
          <w:tcPr>
            <w:tcW w:w="992" w:type="dxa"/>
            <w:vAlign w:val="center"/>
          </w:tcPr>
          <w:p w14:paraId="6D0C010D">
            <w:pPr>
              <w:spacing w:line="300" w:lineRule="exact"/>
              <w:jc w:val="right"/>
              <w:rPr>
                <w:rFonts w:ascii="方正书宋_GBK" w:eastAsia="方正书宋_GBK"/>
              </w:rPr>
            </w:pPr>
            <w:r>
              <w:rPr>
                <w:rFonts w:hint="eastAsia" w:ascii="方正书宋_GBK" w:eastAsia="方正书宋_GBK"/>
              </w:rPr>
              <w:t>80</w:t>
            </w:r>
          </w:p>
        </w:tc>
        <w:tc>
          <w:tcPr>
            <w:tcW w:w="992" w:type="dxa"/>
            <w:vAlign w:val="center"/>
          </w:tcPr>
          <w:p w14:paraId="6013AAF6">
            <w:pPr>
              <w:spacing w:line="300" w:lineRule="exact"/>
              <w:jc w:val="right"/>
              <w:rPr>
                <w:rFonts w:ascii="方正书宋_GBK" w:eastAsia="方正书宋_GBK"/>
              </w:rPr>
            </w:pPr>
            <w:r>
              <w:rPr>
                <w:rFonts w:hint="eastAsia" w:ascii="方正书宋_GBK" w:eastAsia="方正书宋_GBK"/>
              </w:rPr>
              <w:t>80</w:t>
            </w:r>
          </w:p>
        </w:tc>
        <w:tc>
          <w:tcPr>
            <w:tcW w:w="992" w:type="dxa"/>
            <w:vAlign w:val="center"/>
          </w:tcPr>
          <w:p w14:paraId="1E9BBFDD">
            <w:pPr>
              <w:spacing w:line="300" w:lineRule="exact"/>
              <w:jc w:val="right"/>
              <w:rPr>
                <w:rFonts w:ascii="方正书宋_GBK" w:eastAsia="方正书宋_GBK"/>
              </w:rPr>
            </w:pPr>
            <w:r>
              <w:rPr>
                <w:rFonts w:hint="eastAsia" w:ascii="方正书宋_GBK" w:eastAsia="方正书宋_GBK"/>
              </w:rPr>
              <w:t>80</w:t>
            </w:r>
          </w:p>
        </w:tc>
        <w:tc>
          <w:tcPr>
            <w:tcW w:w="993" w:type="dxa"/>
            <w:vAlign w:val="center"/>
          </w:tcPr>
          <w:p w14:paraId="616B4053">
            <w:pPr>
              <w:spacing w:line="300" w:lineRule="exact"/>
              <w:jc w:val="right"/>
              <w:rPr>
                <w:rFonts w:ascii="方正书宋_GBK" w:eastAsia="方正书宋_GBK"/>
              </w:rPr>
            </w:pPr>
          </w:p>
        </w:tc>
        <w:tc>
          <w:tcPr>
            <w:tcW w:w="1134" w:type="dxa"/>
            <w:vAlign w:val="center"/>
          </w:tcPr>
          <w:p w14:paraId="4E42DCE4">
            <w:pPr>
              <w:spacing w:line="300" w:lineRule="exact"/>
              <w:jc w:val="right"/>
              <w:rPr>
                <w:rFonts w:ascii="方正书宋_GBK" w:eastAsia="方正书宋_GBK"/>
              </w:rPr>
            </w:pPr>
          </w:p>
        </w:tc>
        <w:tc>
          <w:tcPr>
            <w:tcW w:w="850" w:type="dxa"/>
            <w:vAlign w:val="center"/>
          </w:tcPr>
          <w:p w14:paraId="645D08E2">
            <w:pPr>
              <w:spacing w:line="300" w:lineRule="exact"/>
              <w:jc w:val="right"/>
              <w:rPr>
                <w:rFonts w:ascii="方正书宋_GBK" w:eastAsia="方正书宋_GBK"/>
              </w:rPr>
            </w:pPr>
          </w:p>
        </w:tc>
        <w:tc>
          <w:tcPr>
            <w:tcW w:w="893" w:type="dxa"/>
            <w:vAlign w:val="center"/>
          </w:tcPr>
          <w:p w14:paraId="4BA70F84">
            <w:pPr>
              <w:spacing w:line="300" w:lineRule="exact"/>
              <w:jc w:val="right"/>
              <w:rPr>
                <w:rFonts w:ascii="方正书宋_GBK" w:eastAsia="方正书宋_GBK"/>
              </w:rPr>
            </w:pPr>
          </w:p>
        </w:tc>
      </w:tr>
    </w:tbl>
    <w:p w14:paraId="1E3A30B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4D17711">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auto"/>
          <w:sz w:val="32"/>
          <w:szCs w:val="32"/>
        </w:rPr>
        <w:t>石家庄市鹿泉区人民法院2019</w:t>
      </w:r>
      <w:r>
        <w:rPr>
          <w:rFonts w:ascii="Times New Roman" w:hAnsi="Times New Roman" w:eastAsia="仿宋" w:cs="Times New Roman"/>
          <w:color w:val="auto"/>
          <w:sz w:val="32"/>
          <w:szCs w:val="32"/>
        </w:rPr>
        <w:t>年末固定资产金额为</w:t>
      </w:r>
      <w:r>
        <w:rPr>
          <w:rFonts w:hint="eastAsia" w:ascii="Times New Roman" w:hAnsi="Times New Roman" w:eastAsia="仿宋" w:cs="Times New Roman"/>
          <w:color w:val="auto"/>
          <w:sz w:val="32"/>
          <w:szCs w:val="32"/>
          <w:lang w:val="en-US" w:eastAsia="zh-CN"/>
        </w:rPr>
        <w:t>3806.91</w:t>
      </w:r>
      <w:r>
        <w:rPr>
          <w:rFonts w:ascii="Times New Roman" w:hAnsi="Times New Roman" w:eastAsia="仿宋" w:cs="Times New Roman"/>
          <w:color w:val="auto"/>
          <w:sz w:val="32"/>
          <w:szCs w:val="32"/>
        </w:rPr>
        <w:t>万元（详见下</w:t>
      </w:r>
      <w:r>
        <w:rPr>
          <w:rFonts w:ascii="Times New Roman" w:hAnsi="Times New Roman" w:eastAsia="仿宋" w:cs="Times New Roman"/>
          <w:color w:val="000000"/>
          <w:sz w:val="32"/>
          <w:szCs w:val="32"/>
        </w:rPr>
        <w:t>表），本年度</w:t>
      </w:r>
      <w:r>
        <w:rPr>
          <w:rFonts w:hint="eastAsia" w:ascii="Times New Roman" w:hAnsi="Times New Roman" w:eastAsia="仿宋" w:cs="Times New Roman"/>
          <w:color w:val="000000"/>
          <w:sz w:val="32"/>
          <w:szCs w:val="32"/>
        </w:rPr>
        <w:t>我</w:t>
      </w:r>
      <w:r>
        <w:rPr>
          <w:rFonts w:ascii="Times New Roman" w:hAnsi="Times New Roman" w:eastAsia="仿宋" w:cs="Times New Roman"/>
          <w:color w:val="000000"/>
          <w:sz w:val="32"/>
          <w:szCs w:val="32"/>
        </w:rPr>
        <w:t>单位拟购置固定资产</w:t>
      </w:r>
      <w:r>
        <w:rPr>
          <w:rFonts w:hint="eastAsia" w:ascii="Times New Roman" w:hAnsi="Times New Roman" w:eastAsia="仿宋" w:cs="Times New Roman"/>
          <w:color w:val="000000"/>
          <w:sz w:val="32"/>
          <w:szCs w:val="32"/>
        </w:rPr>
        <w:t>总额为156.41</w:t>
      </w:r>
      <w:r>
        <w:rPr>
          <w:rFonts w:ascii="Times New Roman" w:hAnsi="Times New Roman" w:eastAsia="仿宋" w:cs="Times New Roman"/>
          <w:color w:val="000000"/>
          <w:sz w:val="32"/>
          <w:szCs w:val="32"/>
        </w:rPr>
        <w:t>万元，主要为</w:t>
      </w:r>
      <w:r>
        <w:rPr>
          <w:rFonts w:hint="eastAsia" w:ascii="仿宋" w:hAnsi="仿宋" w:eastAsia="仿宋"/>
          <w:sz w:val="32"/>
          <w:szCs w:val="32"/>
        </w:rPr>
        <w:t>其他机房辅助设备、其他计算机设备、</w:t>
      </w:r>
      <w:r>
        <w:rPr>
          <w:rFonts w:ascii="Times New Roman" w:hAnsi="Times New Roman" w:eastAsia="仿宋" w:cs="Times New Roman"/>
          <w:color w:val="000000"/>
          <w:sz w:val="32"/>
          <w:szCs w:val="32"/>
        </w:rPr>
        <w:t>一体机等，已列入政府采购预算表</w:t>
      </w:r>
      <w:r>
        <w:rPr>
          <w:rFonts w:hint="eastAsia" w:ascii="Times New Roman" w:hAnsi="Times New Roman" w:eastAsia="仿宋" w:cs="Times New Roman"/>
          <w:color w:val="000000"/>
          <w:sz w:val="32"/>
          <w:szCs w:val="32"/>
        </w:rPr>
        <w:t>，详见政府采购预算表。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14:paraId="0200CECF">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66C18AD">
            <w:pPr>
              <w:widowControl/>
              <w:jc w:val="center"/>
              <w:rPr>
                <w:rFonts w:ascii="宋体" w:hAnsi="宋体" w:cs="宋体"/>
                <w:b/>
                <w:bCs/>
                <w:kern w:val="0"/>
                <w:sz w:val="32"/>
                <w:szCs w:val="32"/>
              </w:rPr>
            </w:pPr>
          </w:p>
          <w:p w14:paraId="3C1FC657">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14:paraId="3403B671">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D88DA6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石家庄市鹿泉区人民法院</w:t>
            </w:r>
          </w:p>
        </w:tc>
        <w:tc>
          <w:tcPr>
            <w:tcW w:w="5103" w:type="dxa"/>
            <w:tcBorders>
              <w:top w:val="nil"/>
              <w:left w:val="nil"/>
              <w:bottom w:val="nil"/>
              <w:right w:val="nil"/>
            </w:tcBorders>
            <w:vAlign w:val="center"/>
          </w:tcPr>
          <w:p w14:paraId="0AEFB606">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4E36378C">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209B1FD">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37EF236B">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02B0A0B8">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4E825EE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D8B61AC">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资产总额</w:t>
            </w:r>
          </w:p>
        </w:tc>
        <w:tc>
          <w:tcPr>
            <w:tcW w:w="3155" w:type="dxa"/>
            <w:tcBorders>
              <w:top w:val="nil"/>
              <w:left w:val="nil"/>
              <w:bottom w:val="single" w:color="auto" w:sz="4" w:space="0"/>
              <w:right w:val="single" w:color="auto" w:sz="4" w:space="0"/>
            </w:tcBorders>
            <w:vAlign w:val="center"/>
          </w:tcPr>
          <w:p w14:paraId="4E08B0DE">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14:paraId="2C57918A">
            <w:pPr>
              <w:widowControl/>
              <w:jc w:val="center"/>
              <w:rPr>
                <w:rFonts w:hint="eastAsia" w:ascii="Times New Roman" w:hAnsi="Times New Roman" w:eastAsia="仿宋" w:cs="Times New Roman"/>
                <w:color w:val="000000" w:themeColor="text1"/>
                <w:kern w:val="0"/>
                <w:sz w:val="22"/>
                <w:lang w:eastAsia="zh-CN"/>
                <w14:textFill>
                  <w14:solidFill>
                    <w14:schemeClr w14:val="tx1"/>
                  </w14:solidFill>
                </w14:textFill>
              </w:rPr>
            </w:pPr>
            <w:r>
              <w:rPr>
                <w:rFonts w:hint="eastAsia" w:ascii="Times New Roman" w:hAnsi="Times New Roman" w:eastAsia="仿宋" w:cs="Times New Roman"/>
                <w:color w:val="000000" w:themeColor="text1"/>
                <w:kern w:val="0"/>
                <w:sz w:val="22"/>
                <w:lang w:val="en-US" w:eastAsia="zh-CN"/>
                <w14:textFill>
                  <w14:solidFill>
                    <w14:schemeClr w14:val="tx1"/>
                  </w14:solidFill>
                </w14:textFill>
              </w:rPr>
              <w:t>3806.91</w:t>
            </w:r>
          </w:p>
        </w:tc>
      </w:tr>
      <w:tr w14:paraId="6FC8B08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5D58FFC">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1、房屋（平方米）</w:t>
            </w:r>
          </w:p>
        </w:tc>
        <w:tc>
          <w:tcPr>
            <w:tcW w:w="3155" w:type="dxa"/>
            <w:tcBorders>
              <w:top w:val="nil"/>
              <w:left w:val="nil"/>
              <w:bottom w:val="single" w:color="auto" w:sz="4" w:space="0"/>
              <w:right w:val="single" w:color="auto" w:sz="4" w:space="0"/>
            </w:tcBorders>
            <w:vAlign w:val="top"/>
          </w:tcPr>
          <w:p w14:paraId="5DDC8913">
            <w:pPr>
              <w:jc w:val="center"/>
              <w:rPr>
                <w:rFonts w:ascii="Times New Roman" w:hAnsi="Times New Roman" w:eastAsia="仿宋" w:cs="Times New Roman"/>
                <w:color w:val="000000" w:themeColor="text1"/>
                <w:kern w:val="0"/>
                <w:sz w:val="22"/>
                <w14:textFill>
                  <w14:solidFill>
                    <w14:schemeClr w14:val="tx1"/>
                  </w14:solidFill>
                </w14:textFill>
              </w:rPr>
            </w:pPr>
            <w:r>
              <w:rPr>
                <w:rFonts w:hint="eastAsia" w:ascii="仿宋" w:hAnsi="仿宋" w:eastAsia="仿宋"/>
                <w:color w:val="000000" w:themeColor="text1"/>
                <w:kern w:val="0"/>
                <w:sz w:val="32"/>
                <w:szCs w:val="32"/>
                <w14:textFill>
                  <w14:solidFill>
                    <w14:schemeClr w14:val="tx1"/>
                  </w14:solidFill>
                </w14:textFill>
              </w:rPr>
              <w:t>4567</w:t>
            </w:r>
          </w:p>
        </w:tc>
        <w:tc>
          <w:tcPr>
            <w:tcW w:w="5103" w:type="dxa"/>
            <w:tcBorders>
              <w:top w:val="nil"/>
              <w:left w:val="nil"/>
              <w:bottom w:val="single" w:color="auto" w:sz="4" w:space="0"/>
              <w:right w:val="single" w:color="auto" w:sz="4" w:space="0"/>
            </w:tcBorders>
            <w:vAlign w:val="top"/>
          </w:tcPr>
          <w:p w14:paraId="1D4E053C">
            <w:pPr>
              <w:jc w:val="center"/>
              <w:rPr>
                <w:rFonts w:hint="eastAsia" w:ascii="Times New Roman" w:hAnsi="Times New Roman" w:eastAsia="仿宋" w:cs="Times New Roman"/>
                <w:color w:val="000000" w:themeColor="text1"/>
                <w:kern w:val="0"/>
                <w:sz w:val="22"/>
                <w:lang w:eastAsia="zh-CN"/>
                <w14:textFill>
                  <w14:solidFill>
                    <w14:schemeClr w14:val="tx1"/>
                  </w14:solidFill>
                </w14:textFill>
              </w:rPr>
            </w:pPr>
            <w:r>
              <w:rPr>
                <w:rFonts w:hint="eastAsia" w:ascii="仿宋" w:hAnsi="仿宋" w:eastAsia="仿宋"/>
                <w:color w:val="000000" w:themeColor="text1"/>
                <w:kern w:val="0"/>
                <w:sz w:val="32"/>
                <w:szCs w:val="32"/>
                <w:lang w:val="en-US" w:eastAsia="zh-CN"/>
                <w14:textFill>
                  <w14:solidFill>
                    <w14:schemeClr w14:val="tx1"/>
                  </w14:solidFill>
                </w14:textFill>
              </w:rPr>
              <w:t>1161.17</w:t>
            </w:r>
          </w:p>
        </w:tc>
      </w:tr>
      <w:tr w14:paraId="5A5DD2E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F4BF2BF">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其中：办公用房（平方米）</w:t>
            </w:r>
          </w:p>
        </w:tc>
        <w:tc>
          <w:tcPr>
            <w:tcW w:w="3155" w:type="dxa"/>
            <w:tcBorders>
              <w:top w:val="nil"/>
              <w:left w:val="nil"/>
              <w:bottom w:val="single" w:color="auto" w:sz="4" w:space="0"/>
              <w:right w:val="single" w:color="auto" w:sz="4" w:space="0"/>
            </w:tcBorders>
            <w:vAlign w:val="center"/>
          </w:tcPr>
          <w:p w14:paraId="6BEE1898">
            <w:pPr>
              <w:jc w:val="center"/>
              <w:outlineLvl w:val="0"/>
              <w:rPr>
                <w:rFonts w:ascii="Times New Roman" w:hAnsi="Times New Roman" w:eastAsia="仿宋" w:cs="Times New Roman"/>
                <w:color w:val="000000" w:themeColor="text1"/>
                <w:kern w:val="0"/>
                <w:sz w:val="22"/>
                <w14:textFill>
                  <w14:solidFill>
                    <w14:schemeClr w14:val="tx1"/>
                  </w14:solidFill>
                </w14:textFill>
              </w:rPr>
            </w:pPr>
            <w:r>
              <w:rPr>
                <w:rFonts w:hint="eastAsia" w:ascii="宋体" w:hAnsi="宋体" w:cs="宋体"/>
                <w:color w:val="000000" w:themeColor="text1"/>
                <w:sz w:val="28"/>
                <w:szCs w:val="28"/>
                <w14:textFill>
                  <w14:solidFill>
                    <w14:schemeClr w14:val="tx1"/>
                  </w14:solidFill>
                </w14:textFill>
              </w:rPr>
              <w:t>4567</w:t>
            </w:r>
          </w:p>
        </w:tc>
        <w:tc>
          <w:tcPr>
            <w:tcW w:w="5103" w:type="dxa"/>
            <w:tcBorders>
              <w:top w:val="nil"/>
              <w:left w:val="nil"/>
              <w:bottom w:val="single" w:color="auto" w:sz="4" w:space="0"/>
              <w:right w:val="single" w:color="auto" w:sz="4" w:space="0"/>
            </w:tcBorders>
            <w:vAlign w:val="center"/>
          </w:tcPr>
          <w:p w14:paraId="0DC3AFCD">
            <w:pPr>
              <w:jc w:val="center"/>
              <w:outlineLvl w:val="0"/>
              <w:rPr>
                <w:rFonts w:hint="eastAsia" w:ascii="Times New Roman" w:hAnsi="Times New Roman" w:eastAsia="仿宋" w:cs="Times New Roman"/>
                <w:color w:val="000000" w:themeColor="text1"/>
                <w:kern w:val="0"/>
                <w:sz w:val="22"/>
                <w:lang w:eastAsia="zh-CN"/>
                <w14:textFill>
                  <w14:solidFill>
                    <w14:schemeClr w14:val="tx1"/>
                  </w14:solidFill>
                </w14:textFill>
              </w:rPr>
            </w:pPr>
            <w:r>
              <w:rPr>
                <w:rFonts w:hint="eastAsia" w:ascii="宋体" w:hAnsi="宋体" w:eastAsia="仿宋" w:cs="宋体"/>
                <w:color w:val="000000" w:themeColor="text1"/>
                <w:sz w:val="28"/>
                <w:szCs w:val="28"/>
                <w:lang w:val="en-US" w:eastAsia="zh-CN"/>
                <w14:textFill>
                  <w14:solidFill>
                    <w14:schemeClr w14:val="tx1"/>
                  </w14:solidFill>
                </w14:textFill>
              </w:rPr>
              <w:t>1161.17</w:t>
            </w:r>
          </w:p>
        </w:tc>
      </w:tr>
      <w:tr w14:paraId="75283B7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52B60EB">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2、车辆（台、辆）</w:t>
            </w:r>
          </w:p>
        </w:tc>
        <w:tc>
          <w:tcPr>
            <w:tcW w:w="3155" w:type="dxa"/>
            <w:tcBorders>
              <w:top w:val="nil"/>
              <w:left w:val="nil"/>
              <w:bottom w:val="single" w:color="auto" w:sz="4" w:space="0"/>
              <w:right w:val="single" w:color="auto" w:sz="4" w:space="0"/>
            </w:tcBorders>
            <w:vAlign w:val="center"/>
          </w:tcPr>
          <w:p w14:paraId="413C4EF0">
            <w:pPr>
              <w:jc w:val="center"/>
              <w:outlineLvl w:val="0"/>
              <w:rPr>
                <w:rFonts w:ascii="Times New Roman" w:hAnsi="Times New Roman" w:eastAsia="仿宋" w:cs="Times New Roman"/>
                <w:color w:val="000000" w:themeColor="text1"/>
                <w:kern w:val="0"/>
                <w:sz w:val="22"/>
                <w14:textFill>
                  <w14:solidFill>
                    <w14:schemeClr w14:val="tx1"/>
                  </w14:solidFill>
                </w14:textFill>
              </w:rPr>
            </w:pPr>
            <w:r>
              <w:rPr>
                <w:rFonts w:hint="eastAsia" w:ascii="宋体" w:hAnsi="宋体" w:cs="宋体"/>
                <w:color w:val="000000" w:themeColor="text1"/>
                <w:sz w:val="28"/>
                <w:szCs w:val="28"/>
                <w14:textFill>
                  <w14:solidFill>
                    <w14:schemeClr w14:val="tx1"/>
                  </w14:solidFill>
                </w14:textFill>
              </w:rPr>
              <w:t>14</w:t>
            </w:r>
          </w:p>
        </w:tc>
        <w:tc>
          <w:tcPr>
            <w:tcW w:w="5103" w:type="dxa"/>
            <w:tcBorders>
              <w:top w:val="nil"/>
              <w:left w:val="nil"/>
              <w:bottom w:val="single" w:color="auto" w:sz="4" w:space="0"/>
              <w:right w:val="single" w:color="auto" w:sz="4" w:space="0"/>
            </w:tcBorders>
            <w:vAlign w:val="center"/>
          </w:tcPr>
          <w:p w14:paraId="16C5E0DC">
            <w:pPr>
              <w:jc w:val="center"/>
              <w:outlineLvl w:val="0"/>
              <w:rPr>
                <w:rFonts w:ascii="Times New Roman" w:hAnsi="Times New Roman" w:eastAsia="仿宋" w:cs="Times New Roman"/>
                <w:color w:val="000000" w:themeColor="text1"/>
                <w:kern w:val="0"/>
                <w:sz w:val="22"/>
                <w14:textFill>
                  <w14:solidFill>
                    <w14:schemeClr w14:val="tx1"/>
                  </w14:solidFill>
                </w14:textFill>
              </w:rPr>
            </w:pPr>
            <w:r>
              <w:rPr>
                <w:rFonts w:hint="eastAsia" w:ascii="宋体" w:hAnsi="宋体" w:cs="宋体"/>
                <w:color w:val="000000" w:themeColor="text1"/>
                <w:sz w:val="28"/>
                <w:szCs w:val="28"/>
                <w14:textFill>
                  <w14:solidFill>
                    <w14:schemeClr w14:val="tx1"/>
                  </w14:solidFill>
                </w14:textFill>
              </w:rPr>
              <w:t>171.50</w:t>
            </w:r>
          </w:p>
        </w:tc>
      </w:tr>
      <w:tr w14:paraId="61B85E9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6CA89C1">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3、单价在20万元以上设备</w:t>
            </w:r>
          </w:p>
        </w:tc>
        <w:tc>
          <w:tcPr>
            <w:tcW w:w="3155" w:type="dxa"/>
            <w:tcBorders>
              <w:top w:val="nil"/>
              <w:left w:val="nil"/>
              <w:bottom w:val="single" w:color="auto" w:sz="4" w:space="0"/>
              <w:right w:val="single" w:color="auto" w:sz="4" w:space="0"/>
            </w:tcBorders>
            <w:vAlign w:val="center"/>
          </w:tcPr>
          <w:p w14:paraId="6BA5126F">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14:paraId="00E5F379">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r>
      <w:tr w14:paraId="13957F9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067F134">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4、其他固定资产</w:t>
            </w:r>
          </w:p>
        </w:tc>
        <w:tc>
          <w:tcPr>
            <w:tcW w:w="3155" w:type="dxa"/>
            <w:tcBorders>
              <w:top w:val="nil"/>
              <w:left w:val="nil"/>
              <w:bottom w:val="single" w:color="auto" w:sz="4" w:space="0"/>
              <w:right w:val="single" w:color="auto" w:sz="4" w:space="0"/>
            </w:tcBorders>
            <w:vAlign w:val="center"/>
          </w:tcPr>
          <w:p w14:paraId="12D662BA">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14:paraId="6655996C">
            <w:pPr>
              <w:widowControl/>
              <w:jc w:val="center"/>
              <w:rPr>
                <w:rFonts w:hint="eastAsia" w:ascii="Times New Roman" w:hAnsi="Times New Roman" w:eastAsia="仿宋" w:cs="Times New Roman"/>
                <w:color w:val="000000" w:themeColor="text1"/>
                <w:kern w:val="0"/>
                <w:sz w:val="22"/>
                <w:lang w:eastAsia="zh-CN"/>
                <w14:textFill>
                  <w14:solidFill>
                    <w14:schemeClr w14:val="tx1"/>
                  </w14:solidFill>
                </w14:textFill>
              </w:rPr>
            </w:pPr>
            <w:r>
              <w:rPr>
                <w:rFonts w:hint="eastAsia" w:ascii="Times New Roman" w:hAnsi="Times New Roman" w:eastAsia="仿宋" w:cs="Times New Roman"/>
                <w:color w:val="000000" w:themeColor="text1"/>
                <w:kern w:val="0"/>
                <w:sz w:val="22"/>
                <w:lang w:val="en-US" w:eastAsia="zh-CN"/>
                <w14:textFill>
                  <w14:solidFill>
                    <w14:schemeClr w14:val="tx1"/>
                  </w14:solidFill>
                </w14:textFill>
              </w:rPr>
              <w:t>2474.24</w:t>
            </w:r>
          </w:p>
        </w:tc>
      </w:tr>
    </w:tbl>
    <w:p w14:paraId="43F4CE32">
      <w:pPr>
        <w:widowControl/>
        <w:ind w:firstLine="630" w:firstLineChars="196"/>
        <w:rPr>
          <w:rFonts w:hint="eastAsia" w:ascii="仿宋" w:hAnsi="仿宋" w:eastAsia="仿宋"/>
          <w:b/>
          <w:kern w:val="0"/>
          <w:sz w:val="32"/>
          <w:szCs w:val="32"/>
        </w:rPr>
      </w:pPr>
      <w:r>
        <w:rPr>
          <w:rFonts w:hint="eastAsia" w:ascii="仿宋" w:hAnsi="仿宋" w:eastAsia="仿宋"/>
          <w:b/>
          <w:kern w:val="0"/>
          <w:sz w:val="32"/>
          <w:szCs w:val="32"/>
        </w:rPr>
        <w:t>八、名词解释</w:t>
      </w:r>
    </w:p>
    <w:p w14:paraId="67FE9CDF">
      <w:pPr>
        <w:ind w:firstLine="640"/>
        <w:rPr>
          <w:rFonts w:hint="eastAsia" w:ascii="Times New Roman" w:hAnsi="Times New Roman" w:eastAsia="仿宋" w:cs="Times New Roman"/>
          <w:color w:val="000000"/>
          <w:sz w:val="32"/>
          <w:szCs w:val="32"/>
        </w:rPr>
      </w:pPr>
      <w:r>
        <w:rPr>
          <w:rFonts w:hint="eastAsia" w:ascii="仿宋" w:hAnsi="仿宋" w:eastAsia="仿宋" w:cs="仿宋"/>
          <w:sz w:val="28"/>
        </w:rPr>
        <w:t>1、</w:t>
      </w:r>
      <w:r>
        <w:rPr>
          <w:rFonts w:hint="eastAsia" w:ascii="Times New Roman" w:hAnsi="Times New Roman" w:eastAsia="仿宋" w:cs="Times New Roman"/>
          <w:b/>
          <w:bCs/>
          <w:color w:val="000000"/>
          <w:sz w:val="32"/>
          <w:szCs w:val="32"/>
        </w:rPr>
        <w:t>一般公共预算拨款收入</w:t>
      </w:r>
      <w:r>
        <w:rPr>
          <w:rFonts w:hint="eastAsia" w:ascii="Times New Roman" w:hAnsi="Times New Roman" w:eastAsia="仿宋" w:cs="Times New Roman"/>
          <w:color w:val="000000"/>
          <w:sz w:val="32"/>
          <w:szCs w:val="32"/>
        </w:rPr>
        <w:t>：指</w:t>
      </w:r>
      <w:r>
        <w:rPr>
          <w:rFonts w:hint="eastAsia" w:ascii="Times New Roman" w:hAnsi="Times New Roman" w:eastAsia="仿宋" w:cs="Times New Roman"/>
          <w:color w:val="000000"/>
          <w:sz w:val="32"/>
          <w:szCs w:val="32"/>
          <w:lang w:val="en-US" w:eastAsia="zh-CN"/>
        </w:rPr>
        <w:t>区</w:t>
      </w:r>
      <w:r>
        <w:rPr>
          <w:rFonts w:hint="eastAsia" w:ascii="Times New Roman" w:hAnsi="Times New Roman" w:eastAsia="仿宋" w:cs="Times New Roman"/>
          <w:color w:val="000000"/>
          <w:sz w:val="32"/>
          <w:szCs w:val="32"/>
        </w:rPr>
        <w:t>级财政当年拨付的资金。</w:t>
      </w:r>
    </w:p>
    <w:p w14:paraId="3CF84BE7">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2、</w:t>
      </w:r>
      <w:r>
        <w:rPr>
          <w:rFonts w:hint="eastAsia" w:ascii="Times New Roman" w:hAnsi="Times New Roman" w:eastAsia="仿宋" w:cs="Times New Roman"/>
          <w:b/>
          <w:bCs/>
          <w:color w:val="000000"/>
          <w:sz w:val="32"/>
          <w:szCs w:val="32"/>
        </w:rPr>
        <w:t>事业收入</w:t>
      </w:r>
      <w:r>
        <w:rPr>
          <w:rFonts w:hint="eastAsia" w:ascii="Times New Roman" w:hAnsi="Times New Roman" w:eastAsia="仿宋" w:cs="Times New Roman"/>
          <w:color w:val="000000"/>
          <w:sz w:val="32"/>
          <w:szCs w:val="32"/>
        </w:rPr>
        <w:t>：指事业单位开展专业业务活动及辅助活动所取得的收入。</w:t>
      </w:r>
    </w:p>
    <w:p w14:paraId="575704FB">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3、</w:t>
      </w:r>
      <w:r>
        <w:rPr>
          <w:rFonts w:hint="eastAsia" w:ascii="Times New Roman" w:hAnsi="Times New Roman" w:eastAsia="仿宋" w:cs="Times New Roman"/>
          <w:b/>
          <w:bCs/>
          <w:color w:val="000000"/>
          <w:sz w:val="32"/>
          <w:szCs w:val="32"/>
        </w:rPr>
        <w:t>其他收入</w:t>
      </w:r>
      <w:r>
        <w:rPr>
          <w:rFonts w:hint="eastAsia" w:ascii="Times New Roman" w:hAnsi="Times New Roman" w:eastAsia="仿宋" w:cs="Times New Roman"/>
          <w:color w:val="000000"/>
          <w:sz w:val="32"/>
          <w:szCs w:val="32"/>
        </w:rPr>
        <w:t>：指除</w:t>
      </w:r>
      <w:r>
        <w:rPr>
          <w:rFonts w:hint="eastAsia" w:ascii="Times New Roman" w:hAnsi="Times New Roman" w:eastAsia="仿宋" w:cs="Times New Roman"/>
          <w:color w:val="000000"/>
          <w:sz w:val="32"/>
          <w:szCs w:val="32"/>
          <w:cs/>
        </w:rPr>
        <w:t>“</w:t>
      </w:r>
      <w:r>
        <w:rPr>
          <w:rFonts w:hint="eastAsia" w:ascii="Times New Roman" w:hAnsi="Times New Roman" w:eastAsia="仿宋" w:cs="Times New Roman"/>
          <w:color w:val="000000"/>
          <w:sz w:val="32"/>
          <w:szCs w:val="32"/>
        </w:rPr>
        <w:t>一般公共预算拨款收入</w:t>
      </w:r>
      <w:r>
        <w:rPr>
          <w:rFonts w:hint="eastAsia" w:ascii="Times New Roman" w:hAnsi="Times New Roman" w:eastAsia="仿宋" w:cs="Times New Roman"/>
          <w:color w:val="000000"/>
          <w:sz w:val="32"/>
          <w:szCs w:val="32"/>
          <w:cs/>
        </w:rPr>
        <w:t>”</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cs/>
        </w:rPr>
        <w:t>“</w:t>
      </w:r>
      <w:r>
        <w:rPr>
          <w:rFonts w:hint="eastAsia" w:ascii="Times New Roman" w:hAnsi="Times New Roman" w:eastAsia="仿宋" w:cs="Times New Roman"/>
          <w:color w:val="000000"/>
          <w:sz w:val="32"/>
          <w:szCs w:val="32"/>
        </w:rPr>
        <w:t>事业收入</w:t>
      </w:r>
      <w:r>
        <w:rPr>
          <w:rFonts w:hint="eastAsia" w:ascii="Times New Roman" w:hAnsi="Times New Roman" w:eastAsia="仿宋" w:cs="Times New Roman"/>
          <w:color w:val="000000"/>
          <w:sz w:val="32"/>
          <w:szCs w:val="32"/>
          <w:cs/>
        </w:rPr>
        <w:t>”</w:t>
      </w:r>
      <w:r>
        <w:rPr>
          <w:rFonts w:hint="eastAsia" w:ascii="Times New Roman" w:hAnsi="Times New Roman" w:eastAsia="仿宋" w:cs="Times New Roman"/>
          <w:color w:val="000000"/>
          <w:sz w:val="32"/>
          <w:szCs w:val="32"/>
        </w:rPr>
        <w:t>等以外的收入。主要是按规定动用的租房收入、存款利息收入等。</w:t>
      </w:r>
    </w:p>
    <w:p w14:paraId="685747AE">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4、</w:t>
      </w:r>
      <w:r>
        <w:rPr>
          <w:rFonts w:hint="eastAsia" w:ascii="Times New Roman" w:hAnsi="Times New Roman" w:eastAsia="仿宋" w:cs="Times New Roman"/>
          <w:b/>
          <w:bCs/>
          <w:color w:val="000000"/>
          <w:sz w:val="32"/>
          <w:szCs w:val="32"/>
        </w:rPr>
        <w:t>基本支出</w:t>
      </w:r>
      <w:r>
        <w:rPr>
          <w:rFonts w:hint="eastAsia" w:ascii="Times New Roman" w:hAnsi="Times New Roman" w:eastAsia="仿宋" w:cs="Times New Roman"/>
          <w:color w:val="000000"/>
          <w:sz w:val="32"/>
          <w:szCs w:val="32"/>
        </w:rPr>
        <w:t>：指为保障机构正常运转、完成日常工作任务而发生的人员支出和公用支出。</w:t>
      </w:r>
    </w:p>
    <w:p w14:paraId="15313C32">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5、</w:t>
      </w:r>
      <w:r>
        <w:rPr>
          <w:rFonts w:hint="eastAsia" w:ascii="Times New Roman" w:hAnsi="Times New Roman" w:eastAsia="仿宋" w:cs="Times New Roman"/>
          <w:b/>
          <w:bCs/>
          <w:color w:val="000000"/>
          <w:sz w:val="32"/>
          <w:szCs w:val="32"/>
        </w:rPr>
        <w:t>项目支出</w:t>
      </w:r>
      <w:r>
        <w:rPr>
          <w:rFonts w:hint="eastAsia" w:ascii="Times New Roman" w:hAnsi="Times New Roman" w:eastAsia="仿宋" w:cs="Times New Roman"/>
          <w:color w:val="000000"/>
          <w:sz w:val="32"/>
          <w:szCs w:val="32"/>
        </w:rPr>
        <w:t>：指在基本支出之外为完成特定行政任务和事业发展目标所发生的支出。</w:t>
      </w:r>
    </w:p>
    <w:p w14:paraId="6D514383">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6、</w:t>
      </w:r>
      <w:r>
        <w:rPr>
          <w:rFonts w:hint="eastAsia" w:ascii="Times New Roman" w:hAnsi="Times New Roman" w:eastAsia="仿宋" w:cs="Times New Roman"/>
          <w:b/>
          <w:bCs/>
          <w:color w:val="000000"/>
          <w:sz w:val="32"/>
          <w:szCs w:val="32"/>
        </w:rPr>
        <w:t>上缴上级支出</w:t>
      </w:r>
      <w:r>
        <w:rPr>
          <w:rFonts w:hint="eastAsia" w:ascii="Times New Roman" w:hAnsi="Times New Roman" w:eastAsia="仿宋" w:cs="Times New Roman"/>
          <w:color w:val="000000"/>
          <w:sz w:val="32"/>
          <w:szCs w:val="32"/>
        </w:rPr>
        <w:t>：指下级单位上缴上级的支出。</w:t>
      </w:r>
    </w:p>
    <w:p w14:paraId="28798E56">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7、</w:t>
      </w:r>
      <w:r>
        <w:rPr>
          <w:rFonts w:hint="eastAsia" w:ascii="Times New Roman" w:hAnsi="Times New Roman" w:eastAsia="仿宋" w:cs="Times New Roman"/>
          <w:b/>
          <w:bCs/>
          <w:color w:val="000000"/>
          <w:sz w:val="32"/>
          <w:szCs w:val="32"/>
          <w:cs/>
        </w:rPr>
        <w:t>“</w:t>
      </w:r>
      <w:r>
        <w:rPr>
          <w:rFonts w:hint="eastAsia" w:ascii="Times New Roman" w:hAnsi="Times New Roman" w:eastAsia="仿宋" w:cs="Times New Roman"/>
          <w:b/>
          <w:bCs/>
          <w:color w:val="000000"/>
          <w:sz w:val="32"/>
          <w:szCs w:val="32"/>
        </w:rPr>
        <w:t>三公</w:t>
      </w:r>
      <w:r>
        <w:rPr>
          <w:rFonts w:hint="eastAsia" w:ascii="Times New Roman" w:hAnsi="Times New Roman" w:eastAsia="仿宋" w:cs="Times New Roman"/>
          <w:b/>
          <w:bCs/>
          <w:color w:val="000000"/>
          <w:sz w:val="32"/>
          <w:szCs w:val="32"/>
          <w:cs/>
        </w:rPr>
        <w:t>”</w:t>
      </w:r>
      <w:r>
        <w:rPr>
          <w:rFonts w:hint="eastAsia" w:ascii="Times New Roman" w:hAnsi="Times New Roman" w:eastAsia="仿宋" w:cs="Times New Roman"/>
          <w:b/>
          <w:bCs/>
          <w:color w:val="000000"/>
          <w:sz w:val="32"/>
          <w:szCs w:val="32"/>
        </w:rPr>
        <w:t>经费</w:t>
      </w:r>
      <w:r>
        <w:rPr>
          <w:rFonts w:hint="eastAsia" w:ascii="Times New Roman" w:hAnsi="Times New Roman" w:eastAsia="仿宋" w:cs="Times New Roman"/>
          <w:color w:val="000000"/>
          <w:sz w:val="32"/>
          <w:szCs w:val="32"/>
        </w:rPr>
        <w:t>：纳入</w:t>
      </w:r>
      <w:r>
        <w:rPr>
          <w:rFonts w:hint="eastAsia" w:ascii="Times New Roman" w:hAnsi="Times New Roman" w:eastAsia="仿宋" w:cs="Times New Roman"/>
          <w:color w:val="000000"/>
          <w:sz w:val="32"/>
          <w:szCs w:val="32"/>
          <w:lang w:val="en-US" w:eastAsia="zh-CN"/>
        </w:rPr>
        <w:t>区</w:t>
      </w:r>
      <w:r>
        <w:rPr>
          <w:rFonts w:hint="eastAsia" w:ascii="Times New Roman" w:hAnsi="Times New Roman" w:eastAsia="仿宋" w:cs="Times New Roman"/>
          <w:color w:val="000000"/>
          <w:sz w:val="32"/>
          <w:szCs w:val="32"/>
        </w:rPr>
        <w:t>级财政预算管理的</w:t>
      </w:r>
      <w:r>
        <w:rPr>
          <w:rFonts w:hint="eastAsia" w:ascii="Times New Roman" w:hAnsi="Times New Roman" w:eastAsia="仿宋" w:cs="Times New Roman"/>
          <w:color w:val="000000"/>
          <w:sz w:val="32"/>
          <w:szCs w:val="32"/>
          <w:cs/>
        </w:rPr>
        <w:t>“</w:t>
      </w:r>
      <w:r>
        <w:rPr>
          <w:rFonts w:hint="eastAsia" w:ascii="Times New Roman" w:hAnsi="Times New Roman" w:eastAsia="仿宋" w:cs="Times New Roman"/>
          <w:color w:val="000000"/>
          <w:sz w:val="32"/>
          <w:szCs w:val="32"/>
        </w:rPr>
        <w:t>三公</w:t>
      </w:r>
      <w:r>
        <w:rPr>
          <w:rFonts w:hint="eastAsia" w:ascii="Times New Roman" w:hAnsi="Times New Roman" w:eastAsia="仿宋" w:cs="Times New Roman"/>
          <w:color w:val="000000"/>
          <w:sz w:val="32"/>
          <w:szCs w:val="32"/>
          <w:cs/>
        </w:rPr>
        <w:t>”</w:t>
      </w:r>
      <w:r>
        <w:rPr>
          <w:rFonts w:hint="eastAsia" w:ascii="Times New Roman" w:hAnsi="Times New Roman" w:eastAsia="仿宋" w:cs="Times New Roman"/>
          <w:color w:val="000000"/>
          <w:sz w:val="32"/>
          <w:szCs w:val="32"/>
        </w:rPr>
        <w:t>经费，是指</w:t>
      </w:r>
      <w:r>
        <w:rPr>
          <w:rFonts w:hint="eastAsia" w:ascii="Times New Roman" w:hAnsi="Times New Roman" w:eastAsia="仿宋" w:cs="Times New Roman"/>
          <w:color w:val="000000"/>
          <w:sz w:val="32"/>
          <w:szCs w:val="32"/>
          <w:lang w:val="en-US" w:eastAsia="zh-CN"/>
        </w:rPr>
        <w:t>区</w:t>
      </w:r>
      <w:r>
        <w:rPr>
          <w:rFonts w:hint="eastAsia" w:ascii="Times New Roman" w:hAnsi="Times New Roman" w:eastAsia="仿宋" w:cs="Times New Roman"/>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55478A0">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8、</w:t>
      </w:r>
      <w:r>
        <w:rPr>
          <w:rFonts w:hint="eastAsia" w:ascii="Times New Roman" w:hAnsi="Times New Roman" w:eastAsia="仿宋" w:cs="Times New Roman"/>
          <w:b/>
          <w:bCs/>
          <w:color w:val="000000"/>
          <w:sz w:val="32"/>
          <w:szCs w:val="32"/>
        </w:rPr>
        <w:t>机关运行费</w:t>
      </w:r>
      <w:r>
        <w:rPr>
          <w:rFonts w:hint="eastAsia" w:ascii="Times New Roman" w:hAnsi="Times New Roman" w:eastAsia="仿宋" w:cs="Times New Roman"/>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BFC8707">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9、</w:t>
      </w:r>
      <w:r>
        <w:rPr>
          <w:rFonts w:hint="eastAsia" w:ascii="Times New Roman" w:hAnsi="Times New Roman" w:eastAsia="仿宋" w:cs="Times New Roman"/>
          <w:b/>
          <w:bCs/>
          <w:color w:val="000000"/>
          <w:sz w:val="32"/>
          <w:szCs w:val="32"/>
        </w:rPr>
        <w:t>上年结转</w:t>
      </w:r>
      <w:r>
        <w:rPr>
          <w:rFonts w:hint="eastAsia" w:ascii="Times New Roman" w:hAnsi="Times New Roman" w:eastAsia="仿宋" w:cs="Times New Roman"/>
          <w:color w:val="000000"/>
          <w:sz w:val="32"/>
          <w:szCs w:val="32"/>
        </w:rPr>
        <w:t>：指以前年度尚未完成、结转到本年仍按原规定用途继续使用的资金。</w:t>
      </w:r>
    </w:p>
    <w:p w14:paraId="23705896">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10、</w:t>
      </w:r>
      <w:r>
        <w:rPr>
          <w:rFonts w:hint="eastAsia" w:ascii="Times New Roman" w:hAnsi="Times New Roman" w:eastAsia="仿宋" w:cs="Times New Roman"/>
          <w:b/>
          <w:bCs/>
          <w:color w:val="000000"/>
          <w:sz w:val="32"/>
          <w:szCs w:val="32"/>
        </w:rPr>
        <w:t>事业单位经营支出</w:t>
      </w:r>
      <w:r>
        <w:rPr>
          <w:rFonts w:hint="eastAsia" w:ascii="Times New Roman" w:hAnsi="Times New Roman" w:eastAsia="仿宋" w:cs="Times New Roman"/>
          <w:color w:val="000000"/>
          <w:sz w:val="32"/>
          <w:szCs w:val="32"/>
        </w:rPr>
        <w:t>：指事业单位在专业业务活动及其辅助活动之外开展非独立核算经营活动发生的支出。</w:t>
      </w:r>
    </w:p>
    <w:p w14:paraId="717A5A7A">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14:paraId="6C1BA8F5">
      <w:pPr>
        <w:ind w:firstLine="640" w:firstLineChars="200"/>
        <w:rPr>
          <w:rFonts w:ascii="仿宋" w:hAnsi="仿宋" w:eastAsia="仿宋" w:cs="仿宋"/>
          <w:sz w:val="32"/>
          <w:szCs w:val="32"/>
        </w:rPr>
      </w:pPr>
      <w:r>
        <w:rPr>
          <w:rFonts w:hint="eastAsia" w:ascii="仿宋" w:hAnsi="仿宋" w:eastAsia="仿宋" w:cs="仿宋"/>
          <w:sz w:val="32"/>
          <w:szCs w:val="32"/>
        </w:rPr>
        <w:t>我部门无其他需要说明的事项。</w:t>
      </w:r>
    </w:p>
    <w:p w14:paraId="0740ABC6">
      <w:pPr>
        <w:jc w:val="center"/>
        <w:outlineLvl w:val="0"/>
        <w:rPr>
          <w:rFonts w:hint="eastAsia" w:ascii="仿宋" w:hAnsi="仿宋" w:eastAsia="仿宋"/>
          <w:sz w:val="44"/>
          <w:szCs w:val="44"/>
        </w:rPr>
      </w:pPr>
    </w:p>
    <w:p w14:paraId="15F5FFAF">
      <w:pPr>
        <w:jc w:val="center"/>
        <w:outlineLvl w:val="0"/>
        <w:rPr>
          <w:rFonts w:hint="eastAsia" w:ascii="仿宋" w:hAnsi="仿宋" w:eastAsia="仿宋"/>
          <w:sz w:val="44"/>
          <w:szCs w:val="44"/>
        </w:rPr>
      </w:pP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modern"/>
    <w:pitch w:val="default"/>
    <w:sig w:usb0="00000000" w:usb1="00000000" w:usb2="00000000" w:usb3="00000000" w:csb0="00000000" w:csb1="00000000"/>
  </w:font>
  <w:font w:name="仿宋">
    <w:panose1 w:val="02010609060101010101"/>
    <w:charset w:val="86"/>
    <w:family w:val="swiss"/>
    <w:pitch w:val="default"/>
    <w:sig w:usb0="800002BF" w:usb1="38CF7CFA" w:usb2="00000016" w:usb3="00000000" w:csb0="00040001" w:csb1="00000000"/>
  </w:font>
  <w:font w:name="方正书宋_GBK">
    <w:altName w:val="宋体"/>
    <w:panose1 w:val="00000000000000000000"/>
    <w:charset w:val="86"/>
    <w:family w:val="modern"/>
    <w:pitch w:val="default"/>
    <w:sig w:usb0="00000000" w:usb1="00000000" w:usb2="00000000" w:usb3="00000000" w:csb0="00000000" w:csb1="00000000"/>
  </w:font>
  <w:font w:name="方正仿宋_GBK">
    <w:altName w:val="宋体"/>
    <w:panose1 w:val="00000000000000000000"/>
    <w:charset w:val="86"/>
    <w:family w:val="modern"/>
    <w:pitch w:val="default"/>
    <w:sig w:usb0="00000000" w:usb1="00000000" w:usb2="00000000" w:usb3="00000000" w:csb0="00000000" w:csb1="00000000"/>
  </w:font>
  <w:font w:name="Helvetica">
    <w:altName w:val="Arial"/>
    <w:panose1 w:val="020B0504020202020204"/>
    <w:charset w:val="00"/>
    <w:family w:val="decorative"/>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586930">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13</w:t>
    </w:r>
    <w:r>
      <w:fldChar w:fldCharType="end"/>
    </w:r>
  </w:p>
  <w:p w14:paraId="276230CC">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31D42"/>
    <w:rsid w:val="00387866"/>
    <w:rsid w:val="0039059E"/>
    <w:rsid w:val="00473160"/>
    <w:rsid w:val="00481378"/>
    <w:rsid w:val="0069378B"/>
    <w:rsid w:val="00735AC0"/>
    <w:rsid w:val="0076271E"/>
    <w:rsid w:val="0078068D"/>
    <w:rsid w:val="007F0341"/>
    <w:rsid w:val="008A3983"/>
    <w:rsid w:val="0095475B"/>
    <w:rsid w:val="009A521C"/>
    <w:rsid w:val="00A51389"/>
    <w:rsid w:val="00A865D4"/>
    <w:rsid w:val="00AB502F"/>
    <w:rsid w:val="00AD4235"/>
    <w:rsid w:val="00B66627"/>
    <w:rsid w:val="00C153D6"/>
    <w:rsid w:val="00D607DA"/>
    <w:rsid w:val="00DC6EE5"/>
    <w:rsid w:val="00E94B30"/>
    <w:rsid w:val="00EE71BA"/>
    <w:rsid w:val="00F867E4"/>
    <w:rsid w:val="056D17C0"/>
    <w:rsid w:val="1183223D"/>
    <w:rsid w:val="263A209C"/>
    <w:rsid w:val="3155305A"/>
    <w:rsid w:val="372B785D"/>
    <w:rsid w:val="44A02A5C"/>
    <w:rsid w:val="514C255E"/>
    <w:rsid w:val="59D219A7"/>
    <w:rsid w:val="5BC92A3E"/>
    <w:rsid w:val="5D637B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paragraph" w:styleId="7">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6964</Words>
  <Characters>7514</Characters>
  <Lines>59</Lines>
  <Paragraphs>16</Paragraphs>
  <TotalTime>19</TotalTime>
  <ScaleCrop>false</ScaleCrop>
  <LinksUpToDate>false</LinksUpToDate>
  <CharactersWithSpaces>7637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2020-02-23T02:27:00Z</dcterms:created>
  <dc:creator>guest</dc:creator>
  <cp:lastModifiedBy>转身的松树</cp:lastModifiedBy>
  <cp:lastPrinted>2020-01-10T15:53:00Z</cp:lastPrinted>
  <dcterms:modified xsi:type="dcterms:W3CDTF">2024-11-26T02:13:14Z</dcterms:modified>
  <dc:title>o</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36EAE3091F0B448CAB5E8BAE7E4EA988_13</vt:lpwstr>
  </property>
</Properties>
</file>