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36D321">
      <w:pPr>
        <w:jc w:val="center"/>
        <w:rPr>
          <w:rFonts w:hint="eastAsia" w:ascii="方正小标宋_GBK" w:eastAsia="方正小标宋_GBK"/>
          <w:sz w:val="52"/>
        </w:rPr>
      </w:pPr>
      <w:r>
        <w:rPr>
          <w:rFonts w:hint="eastAsia" w:ascii="方正小标宋_GBK" w:eastAsia="方正小标宋_GBK"/>
          <w:sz w:val="52"/>
        </w:rPr>
        <w:t>石家庄市鹿泉区人民法院</w:t>
      </w:r>
    </w:p>
    <w:p w14:paraId="0588BBCA">
      <w:pPr>
        <w:jc w:val="center"/>
        <w:rPr>
          <w:rFonts w:ascii="方正小标宋_GBK" w:eastAsia="方正小标宋_GBK"/>
          <w:sz w:val="52"/>
        </w:rPr>
      </w:pPr>
      <w:r>
        <w:rPr>
          <w:rFonts w:hint="eastAsia" w:ascii="方正小标宋_GBK" w:eastAsia="方正小标宋_GBK"/>
          <w:sz w:val="52"/>
        </w:rPr>
        <w:t>2019年部门预算公开信息情况说明</w:t>
      </w:r>
      <w:r>
        <w:rPr>
          <w:rFonts w:ascii="方正小标宋_GBK" w:eastAsia="方正小标宋_GBK"/>
          <w:sz w:val="52"/>
        </w:rPr>
        <w:t xml:space="preserve"> </w:t>
      </w:r>
    </w:p>
    <w:p w14:paraId="0276BEA0">
      <w:pPr>
        <w:jc w:val="center"/>
        <w:rPr>
          <w:rFonts w:ascii="方正小标宋_GBK" w:eastAsia="方正小标宋_GBK"/>
          <w:sz w:val="52"/>
        </w:rPr>
      </w:pPr>
      <w:r>
        <w:rPr>
          <w:rFonts w:ascii="方正小标宋_GBK" w:eastAsia="方正小标宋_GBK"/>
          <w:sz w:val="52"/>
        </w:rPr>
        <w:t xml:space="preserve"> </w:t>
      </w:r>
    </w:p>
    <w:p w14:paraId="399A0780">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val="en-US" w:eastAsia="zh-CN"/>
        </w:rPr>
        <w:t>中华人民共和国</w:t>
      </w:r>
      <w:r>
        <w:rPr>
          <w:rFonts w:hint="eastAsia" w:ascii="仿宋" w:hAnsi="仿宋" w:eastAsia="仿宋" w:cs="仿宋"/>
          <w:sz w:val="32"/>
          <w:szCs w:val="32"/>
        </w:rPr>
        <w:t>预算法》、《地方预决算公开操作规程》和《河北省省级预算公开办法》规定，现将石家庄市鹿泉区人民法院2019年部门预算公开如下：</w:t>
      </w:r>
    </w:p>
    <w:p w14:paraId="2302B2B8">
      <w:pPr>
        <w:ind w:firstLine="482" w:firstLineChars="150"/>
        <w:jc w:val="left"/>
        <w:rPr>
          <w:rFonts w:hint="eastAsia" w:ascii="仿宋" w:hAnsi="仿宋" w:eastAsia="仿宋" w:cs="宋体"/>
          <w:kern w:val="0"/>
          <w:sz w:val="32"/>
          <w:szCs w:val="32"/>
        </w:rPr>
      </w:pPr>
      <w:r>
        <w:rPr>
          <w:rFonts w:hint="eastAsia" w:ascii="仿宋" w:hAnsi="仿宋" w:eastAsia="仿宋"/>
          <w:b/>
          <w:sz w:val="32"/>
          <w:szCs w:val="32"/>
        </w:rPr>
        <w:t>一、部门职责、机构设置等基本情况</w:t>
      </w:r>
    </w:p>
    <w:p w14:paraId="7DB1EC40">
      <w:pPr>
        <w:ind w:firstLine="600" w:firstLineChars="200"/>
        <w:jc w:val="left"/>
        <w:rPr>
          <w:rFonts w:hint="eastAsia" w:ascii="仿宋" w:hAnsi="仿宋" w:eastAsia="仿宋"/>
          <w:sz w:val="30"/>
          <w:szCs w:val="30"/>
        </w:rPr>
      </w:pPr>
      <w:r>
        <w:rPr>
          <w:rFonts w:hint="eastAsia" w:ascii="仿宋" w:hAnsi="仿宋" w:eastAsia="仿宋" w:cs="宋体"/>
          <w:kern w:val="0"/>
          <w:sz w:val="30"/>
          <w:szCs w:val="30"/>
        </w:rPr>
        <w:t>1、部门职责：</w:t>
      </w:r>
      <w:r>
        <w:rPr>
          <w:rFonts w:hint="eastAsia" w:ascii="仿宋" w:hAnsi="仿宋" w:eastAsia="仿宋"/>
          <w:sz w:val="30"/>
          <w:szCs w:val="30"/>
        </w:rPr>
        <w:t>人民法院由国家权力机关产生并受其监督。具体包括：以事实为根据、以法律为准绳的原则，专门机关与群众路线相结合的原则、人民陪审员制度、法情院调解制度、死刑复核制度和审判监督制度等。依法审判法律规定由区人民法院管辖的刑事、民事、行政等案件，依法办理发生效力判决、其他法律文书的执行，做好审判管理工作。规范、保障、促进审判执行工作。开展司法技术辅助工作，完成涉法涉诉类案件的息诉罢访工作，依法办理国家赔偿案件。加强法院队伍建设，加强外宣传以及舆论，树立法院良好形象。</w:t>
      </w:r>
    </w:p>
    <w:p w14:paraId="23E37ED5">
      <w:pPr>
        <w:ind w:firstLine="756" w:firstLineChars="252"/>
        <w:jc w:val="left"/>
        <w:rPr>
          <w:rFonts w:hint="eastAsia" w:ascii="仿宋" w:hAnsi="仿宋" w:eastAsia="仿宋" w:cs="宋体"/>
          <w:kern w:val="0"/>
          <w:sz w:val="30"/>
          <w:szCs w:val="30"/>
        </w:rPr>
      </w:pPr>
      <w:r>
        <w:rPr>
          <w:rFonts w:hint="eastAsia" w:ascii="仿宋" w:hAnsi="仿宋" w:eastAsia="仿宋" w:cs="宋体"/>
          <w:kern w:val="0"/>
          <w:sz w:val="30"/>
          <w:szCs w:val="30"/>
        </w:rPr>
        <w:t>2、机构设置：</w:t>
      </w:r>
    </w:p>
    <w:tbl>
      <w:tblPr>
        <w:tblStyle w:val="8"/>
        <w:tblpPr w:leftFromText="180" w:rightFromText="180" w:vertAnchor="text" w:horzAnchor="page" w:tblpX="2578" w:tblpY="485"/>
        <w:tblOverlap w:val="never"/>
        <w:tblW w:w="1193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29"/>
        <w:gridCol w:w="2929"/>
        <w:gridCol w:w="2929"/>
        <w:gridCol w:w="3148"/>
      </w:tblGrid>
      <w:tr w14:paraId="7D0A2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711" w:hRule="atLeast"/>
        </w:trPr>
        <w:tc>
          <w:tcPr>
            <w:tcW w:w="2929" w:type="dxa"/>
            <w:noWrap w:val="0"/>
            <w:vAlign w:val="top"/>
          </w:tcPr>
          <w:p w14:paraId="1CDA8AF7">
            <w:pPr>
              <w:jc w:val="left"/>
              <w:rPr>
                <w:rFonts w:hint="eastAsia" w:ascii="仿宋" w:hAnsi="仿宋" w:eastAsia="仿宋"/>
                <w:sz w:val="30"/>
                <w:szCs w:val="30"/>
              </w:rPr>
            </w:pPr>
            <w:r>
              <w:rPr>
                <w:rFonts w:hint="eastAsia" w:ascii="仿宋" w:hAnsi="仿宋" w:eastAsia="仿宋"/>
                <w:sz w:val="30"/>
                <w:szCs w:val="30"/>
              </w:rPr>
              <w:t>单位名称</w:t>
            </w:r>
          </w:p>
        </w:tc>
        <w:tc>
          <w:tcPr>
            <w:tcW w:w="2929" w:type="dxa"/>
            <w:noWrap w:val="0"/>
            <w:vAlign w:val="top"/>
          </w:tcPr>
          <w:p w14:paraId="75BF523F">
            <w:pPr>
              <w:jc w:val="left"/>
              <w:rPr>
                <w:rFonts w:hint="eastAsia" w:ascii="仿宋" w:hAnsi="仿宋" w:eastAsia="仿宋"/>
                <w:sz w:val="30"/>
                <w:szCs w:val="30"/>
              </w:rPr>
            </w:pPr>
            <w:r>
              <w:rPr>
                <w:rFonts w:hint="eastAsia" w:ascii="仿宋" w:hAnsi="仿宋" w:eastAsia="仿宋"/>
                <w:sz w:val="30"/>
                <w:szCs w:val="30"/>
              </w:rPr>
              <w:t>单位性质</w:t>
            </w:r>
          </w:p>
        </w:tc>
        <w:tc>
          <w:tcPr>
            <w:tcW w:w="2929" w:type="dxa"/>
            <w:noWrap w:val="0"/>
            <w:vAlign w:val="top"/>
          </w:tcPr>
          <w:p w14:paraId="3F8CFD1F">
            <w:pPr>
              <w:jc w:val="left"/>
              <w:rPr>
                <w:rFonts w:hint="eastAsia" w:ascii="仿宋" w:hAnsi="仿宋" w:eastAsia="仿宋"/>
                <w:sz w:val="30"/>
                <w:szCs w:val="30"/>
              </w:rPr>
            </w:pPr>
            <w:r>
              <w:rPr>
                <w:rFonts w:hint="eastAsia" w:ascii="仿宋" w:hAnsi="仿宋" w:eastAsia="仿宋"/>
                <w:sz w:val="30"/>
                <w:szCs w:val="30"/>
              </w:rPr>
              <w:t>单位规格</w:t>
            </w:r>
          </w:p>
        </w:tc>
        <w:tc>
          <w:tcPr>
            <w:tcW w:w="3148" w:type="dxa"/>
            <w:noWrap w:val="0"/>
            <w:vAlign w:val="top"/>
          </w:tcPr>
          <w:p w14:paraId="0A7A48A8">
            <w:pPr>
              <w:jc w:val="left"/>
              <w:rPr>
                <w:rFonts w:hint="eastAsia" w:ascii="仿宋" w:hAnsi="仿宋" w:eastAsia="仿宋"/>
                <w:sz w:val="30"/>
                <w:szCs w:val="30"/>
              </w:rPr>
            </w:pPr>
            <w:r>
              <w:rPr>
                <w:rFonts w:hint="eastAsia" w:ascii="仿宋" w:hAnsi="仿宋" w:eastAsia="仿宋"/>
                <w:sz w:val="30"/>
                <w:szCs w:val="30"/>
              </w:rPr>
              <w:t>经费保障形式</w:t>
            </w:r>
          </w:p>
        </w:tc>
      </w:tr>
      <w:tr w14:paraId="3CA1C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1405" w:hRule="atLeast"/>
        </w:trPr>
        <w:tc>
          <w:tcPr>
            <w:tcW w:w="2929" w:type="dxa"/>
            <w:noWrap w:val="0"/>
            <w:vAlign w:val="top"/>
          </w:tcPr>
          <w:p w14:paraId="14AEC858">
            <w:pPr>
              <w:jc w:val="center"/>
              <w:rPr>
                <w:rFonts w:hint="eastAsia" w:ascii="仿宋" w:hAnsi="仿宋" w:eastAsia="仿宋"/>
                <w:sz w:val="30"/>
                <w:szCs w:val="30"/>
              </w:rPr>
            </w:pPr>
            <w:r>
              <w:rPr>
                <w:rFonts w:hint="eastAsia" w:ascii="仿宋" w:hAnsi="仿宋" w:eastAsia="仿宋"/>
                <w:sz w:val="30"/>
                <w:szCs w:val="30"/>
              </w:rPr>
              <w:t>石家庄市鹿泉区</w:t>
            </w:r>
          </w:p>
          <w:p w14:paraId="78F86F49">
            <w:pPr>
              <w:jc w:val="center"/>
              <w:rPr>
                <w:rFonts w:hint="eastAsia" w:ascii="仿宋" w:hAnsi="仿宋" w:eastAsia="仿宋"/>
                <w:sz w:val="30"/>
                <w:szCs w:val="30"/>
              </w:rPr>
            </w:pPr>
            <w:r>
              <w:rPr>
                <w:rFonts w:hint="eastAsia" w:ascii="仿宋" w:hAnsi="仿宋" w:eastAsia="仿宋"/>
                <w:sz w:val="30"/>
                <w:szCs w:val="30"/>
              </w:rPr>
              <w:t>人民法院</w:t>
            </w:r>
          </w:p>
        </w:tc>
        <w:tc>
          <w:tcPr>
            <w:tcW w:w="2929" w:type="dxa"/>
            <w:noWrap w:val="0"/>
            <w:vAlign w:val="top"/>
          </w:tcPr>
          <w:p w14:paraId="2B674315">
            <w:pPr>
              <w:jc w:val="center"/>
              <w:rPr>
                <w:rFonts w:hint="eastAsia" w:ascii="仿宋" w:hAnsi="仿宋" w:eastAsia="仿宋"/>
                <w:sz w:val="30"/>
                <w:szCs w:val="30"/>
              </w:rPr>
            </w:pPr>
            <w:r>
              <w:rPr>
                <w:rFonts w:hint="eastAsia" w:ascii="仿宋" w:hAnsi="仿宋" w:eastAsia="仿宋"/>
                <w:sz w:val="30"/>
                <w:szCs w:val="30"/>
              </w:rPr>
              <w:t>行政</w:t>
            </w:r>
          </w:p>
        </w:tc>
        <w:tc>
          <w:tcPr>
            <w:tcW w:w="2929" w:type="dxa"/>
            <w:noWrap w:val="0"/>
            <w:vAlign w:val="top"/>
          </w:tcPr>
          <w:p w14:paraId="1032F0F7">
            <w:pPr>
              <w:rPr>
                <w:rFonts w:hint="eastAsia" w:ascii="仿宋" w:hAnsi="仿宋" w:eastAsia="仿宋"/>
                <w:sz w:val="30"/>
                <w:szCs w:val="30"/>
              </w:rPr>
            </w:pPr>
            <w:r>
              <w:rPr>
                <w:rFonts w:hint="eastAsia" w:ascii="仿宋" w:hAnsi="仿宋" w:eastAsia="仿宋"/>
                <w:sz w:val="30"/>
                <w:szCs w:val="30"/>
              </w:rPr>
              <w:t>副处级</w:t>
            </w:r>
          </w:p>
        </w:tc>
        <w:tc>
          <w:tcPr>
            <w:tcW w:w="3148" w:type="dxa"/>
            <w:noWrap w:val="0"/>
            <w:vAlign w:val="top"/>
          </w:tcPr>
          <w:p w14:paraId="0096DA54">
            <w:pPr>
              <w:jc w:val="center"/>
              <w:rPr>
                <w:rFonts w:hint="eastAsia" w:ascii="仿宋" w:hAnsi="仿宋" w:eastAsia="仿宋"/>
                <w:sz w:val="30"/>
                <w:szCs w:val="30"/>
              </w:rPr>
            </w:pPr>
            <w:r>
              <w:rPr>
                <w:rFonts w:hint="eastAsia" w:ascii="仿宋" w:hAnsi="仿宋" w:eastAsia="仿宋"/>
                <w:sz w:val="30"/>
                <w:szCs w:val="30"/>
              </w:rPr>
              <w:t>财政拨款</w:t>
            </w:r>
          </w:p>
        </w:tc>
      </w:tr>
    </w:tbl>
    <w:p w14:paraId="19C940E2">
      <w:pPr>
        <w:ind w:firstLine="756" w:firstLineChars="252"/>
        <w:jc w:val="left"/>
        <w:rPr>
          <w:rFonts w:hint="eastAsia" w:ascii="仿宋" w:hAnsi="仿宋" w:eastAsia="仿宋" w:cs="宋体"/>
          <w:kern w:val="0"/>
          <w:sz w:val="30"/>
          <w:szCs w:val="30"/>
        </w:rPr>
      </w:pPr>
    </w:p>
    <w:p w14:paraId="73DED8E9">
      <w:pPr>
        <w:jc w:val="left"/>
      </w:pPr>
    </w:p>
    <w:p w14:paraId="4B2D6C45"/>
    <w:p w14:paraId="6EE6A81A"/>
    <w:p w14:paraId="28BF60F1"/>
    <w:p w14:paraId="300ED943"/>
    <w:p w14:paraId="53908C7B"/>
    <w:p w14:paraId="70D930C5"/>
    <w:p w14:paraId="3B2E1D09"/>
    <w:p w14:paraId="0CCE670A">
      <w:pPr>
        <w:numPr>
          <w:ilvl w:val="0"/>
          <w:numId w:val="1"/>
        </w:numPr>
        <w:ind w:left="420" w:leftChars="0" w:firstLine="0" w:firstLineChars="0"/>
        <w:outlineLvl w:val="0"/>
        <w:rPr>
          <w:rFonts w:hint="eastAsia" w:ascii="仿宋" w:hAnsi="仿宋" w:eastAsia="仿宋"/>
          <w:b/>
          <w:sz w:val="32"/>
          <w:szCs w:val="32"/>
        </w:rPr>
      </w:pPr>
      <w:r>
        <w:rPr>
          <w:rFonts w:hint="eastAsia" w:ascii="仿宋" w:hAnsi="仿宋" w:eastAsia="仿宋"/>
          <w:b/>
          <w:sz w:val="32"/>
          <w:szCs w:val="32"/>
        </w:rPr>
        <w:t>部门预算安排总体情况</w:t>
      </w:r>
    </w:p>
    <w:p w14:paraId="7AEC170B">
      <w:pPr>
        <w:ind w:firstLine="640"/>
        <w:rPr>
          <w:rFonts w:hint="eastAsia"/>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区</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14:paraId="4D8AFAA2">
      <w:pPr>
        <w:adjustRightInd w:val="0"/>
        <w:snapToGrid w:val="0"/>
        <w:spacing w:line="600" w:lineRule="exact"/>
        <w:ind w:firstLine="700" w:firstLineChars="250"/>
        <w:rPr>
          <w:rFonts w:hint="eastAsia" w:ascii="仿宋" w:hAnsi="仿宋" w:eastAsia="仿宋"/>
          <w:sz w:val="28"/>
          <w:szCs w:val="28"/>
          <w:lang w:val="en-US" w:eastAsia="zh-CN"/>
        </w:rPr>
      </w:pPr>
      <w:r>
        <w:rPr>
          <w:rFonts w:hint="eastAsia" w:ascii="仿宋" w:hAnsi="仿宋" w:eastAsia="仿宋"/>
          <w:sz w:val="28"/>
          <w:szCs w:val="28"/>
        </w:rPr>
        <w:t>1、</w:t>
      </w:r>
      <w:r>
        <w:rPr>
          <w:rFonts w:hint="eastAsia" w:ascii="仿宋" w:hAnsi="仿宋" w:eastAsia="仿宋"/>
          <w:sz w:val="28"/>
          <w:szCs w:val="28"/>
          <w:lang w:val="en-US" w:eastAsia="zh-CN"/>
        </w:rPr>
        <w:t>收入说明</w:t>
      </w:r>
    </w:p>
    <w:p w14:paraId="685C8433">
      <w:pPr>
        <w:adjustRightInd w:val="0"/>
        <w:snapToGrid w:val="0"/>
        <w:spacing w:line="600" w:lineRule="exact"/>
        <w:ind w:firstLine="700" w:firstLineChars="250"/>
        <w:rPr>
          <w:rFonts w:hint="eastAsia" w:ascii="仿宋" w:hAnsi="仿宋" w:eastAsia="仿宋" w:cs="Times New Roman"/>
          <w:sz w:val="28"/>
          <w:szCs w:val="28"/>
        </w:rPr>
      </w:pPr>
      <w:r>
        <w:rPr>
          <w:rFonts w:hint="eastAsia" w:ascii="仿宋" w:hAnsi="仿宋" w:eastAsia="仿宋" w:cs="Times New Roman"/>
          <w:sz w:val="28"/>
          <w:szCs w:val="28"/>
        </w:rPr>
        <w:t>反映本部门当年全部收入。石家庄市鹿泉区人民法院2019年预算收入总计2330.47万元。其中</w:t>
      </w:r>
      <w:r>
        <w:rPr>
          <w:rFonts w:hint="eastAsia" w:ascii="仿宋" w:hAnsi="仿宋" w:eastAsia="仿宋" w:cs="Times New Roman"/>
          <w:sz w:val="28"/>
          <w:szCs w:val="28"/>
          <w:lang w:eastAsia="zh-CN"/>
        </w:rPr>
        <w:t>：</w:t>
      </w:r>
      <w:r>
        <w:rPr>
          <w:rFonts w:hint="eastAsia" w:ascii="仿宋" w:hAnsi="仿宋" w:eastAsia="仿宋" w:cs="Times New Roman"/>
          <w:sz w:val="28"/>
          <w:szCs w:val="28"/>
        </w:rPr>
        <w:t>一般公共预算收2330.47万元，基金预算收入0万元</w:t>
      </w:r>
      <w:r>
        <w:rPr>
          <w:rFonts w:hint="eastAsia" w:ascii="仿宋" w:hAnsi="仿宋" w:eastAsia="仿宋" w:cs="Times New Roman"/>
          <w:sz w:val="28"/>
          <w:szCs w:val="28"/>
          <w:lang w:eastAsia="zh-CN"/>
        </w:rPr>
        <w:t>，</w:t>
      </w:r>
      <w:r>
        <w:rPr>
          <w:rFonts w:hint="eastAsia" w:ascii="仿宋" w:hAnsi="仿宋" w:eastAsia="仿宋" w:cs="Times New Roman"/>
          <w:sz w:val="28"/>
          <w:szCs w:val="28"/>
        </w:rPr>
        <w:t>财政专户核拨收入</w:t>
      </w:r>
      <w:r>
        <w:rPr>
          <w:rFonts w:hint="eastAsia" w:ascii="仿宋" w:hAnsi="仿宋" w:eastAsia="仿宋" w:cs="Times New Roman"/>
          <w:sz w:val="28"/>
          <w:szCs w:val="28"/>
          <w:lang w:val="en-US" w:eastAsia="zh-CN"/>
        </w:rPr>
        <w:t>0</w:t>
      </w:r>
      <w:r>
        <w:rPr>
          <w:rFonts w:hint="eastAsia" w:ascii="仿宋" w:hAnsi="仿宋" w:eastAsia="仿宋" w:cs="Times New Roman"/>
          <w:sz w:val="28"/>
          <w:szCs w:val="28"/>
        </w:rPr>
        <w:t>万元</w:t>
      </w:r>
      <w:r>
        <w:rPr>
          <w:rFonts w:hint="eastAsia" w:ascii="仿宋" w:hAnsi="仿宋" w:eastAsia="仿宋" w:cs="Times New Roman"/>
          <w:sz w:val="28"/>
          <w:szCs w:val="28"/>
          <w:lang w:eastAsia="zh-CN"/>
        </w:rPr>
        <w:t>，</w:t>
      </w:r>
      <w:r>
        <w:rPr>
          <w:rFonts w:hint="eastAsia" w:ascii="仿宋" w:hAnsi="仿宋" w:eastAsia="仿宋" w:cs="Times New Roman"/>
          <w:sz w:val="28"/>
          <w:szCs w:val="28"/>
        </w:rPr>
        <w:t>其他来源收入</w:t>
      </w:r>
      <w:r>
        <w:rPr>
          <w:rFonts w:hint="eastAsia" w:ascii="仿宋" w:hAnsi="仿宋" w:eastAsia="仿宋" w:cs="Times New Roman"/>
          <w:sz w:val="28"/>
          <w:szCs w:val="28"/>
          <w:lang w:val="en-US" w:eastAsia="zh-CN"/>
        </w:rPr>
        <w:t>0</w:t>
      </w:r>
      <w:r>
        <w:rPr>
          <w:rFonts w:hint="eastAsia" w:ascii="仿宋" w:hAnsi="仿宋" w:eastAsia="仿宋" w:cs="Times New Roman"/>
          <w:sz w:val="28"/>
          <w:szCs w:val="28"/>
        </w:rPr>
        <w:t>万元。</w:t>
      </w:r>
    </w:p>
    <w:p w14:paraId="19CF26D6">
      <w:pPr>
        <w:numPr>
          <w:ilvl w:val="0"/>
          <w:numId w:val="2"/>
        </w:numPr>
        <w:adjustRightInd w:val="0"/>
        <w:snapToGrid w:val="0"/>
        <w:spacing w:line="600" w:lineRule="exact"/>
        <w:ind w:firstLine="700" w:firstLineChars="250"/>
        <w:jc w:val="left"/>
        <w:rPr>
          <w:rFonts w:hint="eastAsia" w:ascii="仿宋" w:hAnsi="仿宋" w:eastAsia="仿宋"/>
          <w:sz w:val="28"/>
          <w:szCs w:val="28"/>
          <w:lang w:val="en-US" w:eastAsia="zh-CN"/>
        </w:rPr>
      </w:pPr>
      <w:r>
        <w:rPr>
          <w:rFonts w:hint="eastAsia" w:ascii="仿宋" w:hAnsi="仿宋" w:eastAsia="仿宋"/>
          <w:sz w:val="28"/>
          <w:szCs w:val="28"/>
          <w:lang w:val="en-US" w:eastAsia="zh-CN"/>
        </w:rPr>
        <w:t>支出说明</w:t>
      </w:r>
    </w:p>
    <w:p w14:paraId="0DE2ABD8">
      <w:pPr>
        <w:numPr>
          <w:ilvl w:val="0"/>
          <w:numId w:val="0"/>
        </w:numPr>
        <w:adjustRightInd w:val="0"/>
        <w:snapToGrid w:val="0"/>
        <w:spacing w:line="600" w:lineRule="exact"/>
        <w:ind w:firstLine="560" w:firstLineChars="200"/>
        <w:jc w:val="left"/>
        <w:rPr>
          <w:rFonts w:hint="eastAsia" w:ascii="仿宋" w:hAnsi="仿宋" w:eastAsia="仿宋"/>
          <w:sz w:val="28"/>
          <w:szCs w:val="28"/>
          <w:lang w:val="en-US" w:eastAsia="zh-CN"/>
        </w:rPr>
      </w:pPr>
      <w:r>
        <w:rPr>
          <w:rFonts w:hint="eastAsia" w:ascii="仿宋" w:hAnsi="仿宋" w:eastAsia="仿宋" w:cs="Times New Roman"/>
          <w:sz w:val="28"/>
          <w:szCs w:val="28"/>
        </w:rPr>
        <w:t>收支预算总表支出栏、基本支出表、项目支出表按经济分类和支出功能分类科目编制，反映</w:t>
      </w:r>
      <w:r>
        <w:rPr>
          <w:rFonts w:hint="eastAsia" w:ascii="仿宋" w:hAnsi="仿宋" w:eastAsia="仿宋" w:cs="Times New Roman"/>
          <w:sz w:val="28"/>
          <w:szCs w:val="28"/>
          <w:lang w:val="en-US" w:eastAsia="zh-CN"/>
        </w:rPr>
        <w:t>鹿泉区人民法院</w:t>
      </w:r>
      <w:r>
        <w:rPr>
          <w:rFonts w:hint="eastAsia" w:ascii="仿宋" w:hAnsi="仿宋" w:eastAsia="仿宋" w:cs="Times New Roman"/>
          <w:sz w:val="28"/>
          <w:szCs w:val="28"/>
        </w:rPr>
        <w:t>年度部门预算中支出预算的总体情况。</w:t>
      </w:r>
      <w:r>
        <w:rPr>
          <w:rFonts w:hint="eastAsia" w:ascii="仿宋" w:hAnsi="仿宋" w:eastAsia="仿宋"/>
          <w:sz w:val="28"/>
          <w:szCs w:val="28"/>
        </w:rPr>
        <w:t>2019预算支出2</w:t>
      </w:r>
      <w:r>
        <w:rPr>
          <w:rFonts w:hint="eastAsia" w:ascii="仿宋" w:hAnsi="仿宋" w:eastAsia="仿宋" w:cs="Times New Roman"/>
          <w:sz w:val="28"/>
          <w:szCs w:val="28"/>
        </w:rPr>
        <w:t>330.47万元。其中基本支出</w:t>
      </w:r>
      <w:r>
        <w:rPr>
          <w:rFonts w:hint="eastAsia" w:ascii="仿宋" w:hAnsi="仿宋" w:eastAsia="仿宋" w:cs="Times New Roman"/>
          <w:sz w:val="28"/>
          <w:szCs w:val="28"/>
          <w:lang w:val="en-US" w:eastAsia="zh-CN"/>
        </w:rPr>
        <w:t>1720.03</w:t>
      </w:r>
      <w:r>
        <w:rPr>
          <w:rFonts w:hint="eastAsia" w:ascii="仿宋" w:hAnsi="仿宋" w:eastAsia="仿宋" w:cs="Times New Roman"/>
          <w:sz w:val="28"/>
          <w:szCs w:val="28"/>
        </w:rPr>
        <w:t>万元，</w:t>
      </w:r>
      <w:r>
        <w:rPr>
          <w:rFonts w:hint="eastAsia" w:ascii="仿宋" w:hAnsi="仿宋" w:eastAsia="仿宋" w:cs="Times New Roman"/>
          <w:sz w:val="28"/>
          <w:szCs w:val="28"/>
          <w:lang w:val="en-US" w:eastAsia="zh-CN"/>
        </w:rPr>
        <w:t>包括</w:t>
      </w:r>
      <w:r>
        <w:rPr>
          <w:rFonts w:hint="eastAsia" w:ascii="仿宋" w:hAnsi="仿宋" w:eastAsia="仿宋" w:cs="Times New Roman"/>
          <w:sz w:val="28"/>
          <w:szCs w:val="28"/>
        </w:rPr>
        <w:t>人员经费支出1501.37万元</w:t>
      </w:r>
      <w:r>
        <w:rPr>
          <w:rFonts w:hint="eastAsia" w:ascii="仿宋" w:hAnsi="仿宋" w:eastAsia="仿宋" w:cs="Times New Roman"/>
          <w:sz w:val="28"/>
          <w:szCs w:val="28"/>
          <w:lang w:val="en-US" w:eastAsia="zh-CN"/>
        </w:rPr>
        <w:t>和</w:t>
      </w:r>
      <w:r>
        <w:rPr>
          <w:rFonts w:hint="eastAsia" w:ascii="仿宋" w:hAnsi="仿宋" w:eastAsia="仿宋" w:cs="Times New Roman"/>
          <w:sz w:val="28"/>
          <w:szCs w:val="28"/>
        </w:rPr>
        <w:t>正常公用经费</w:t>
      </w:r>
      <w:r>
        <w:rPr>
          <w:rFonts w:hint="eastAsia" w:ascii="仿宋" w:hAnsi="仿宋" w:eastAsia="仿宋" w:cs="Times New Roman"/>
          <w:sz w:val="28"/>
          <w:szCs w:val="28"/>
          <w:lang w:val="en-US" w:eastAsia="zh-CN"/>
        </w:rPr>
        <w:t>支出</w:t>
      </w:r>
      <w:r>
        <w:rPr>
          <w:rFonts w:hint="eastAsia" w:ascii="仿宋" w:hAnsi="仿宋" w:eastAsia="仿宋" w:cs="Times New Roman"/>
          <w:sz w:val="28"/>
          <w:szCs w:val="28"/>
        </w:rPr>
        <w:t>218.66 万元</w:t>
      </w:r>
      <w:r>
        <w:rPr>
          <w:rFonts w:hint="eastAsia" w:ascii="仿宋" w:hAnsi="仿宋" w:eastAsia="仿宋" w:cs="Times New Roman"/>
          <w:sz w:val="28"/>
          <w:szCs w:val="28"/>
          <w:lang w:eastAsia="zh-CN"/>
        </w:rPr>
        <w:t>；</w:t>
      </w:r>
      <w:r>
        <w:rPr>
          <w:rFonts w:hint="eastAsia" w:ascii="仿宋" w:hAnsi="仿宋" w:eastAsia="仿宋" w:cs="Times New Roman"/>
          <w:sz w:val="28"/>
          <w:szCs w:val="28"/>
        </w:rPr>
        <w:t>项目支出 610.44万元</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主要是法院聘用法警、书记员费用360万元，执法业务经费150万元，法院信息化建设70万元，2018年工程项目质保金30.44万元</w:t>
      </w:r>
      <w:r>
        <w:rPr>
          <w:rFonts w:hint="eastAsia" w:ascii="仿宋" w:hAnsi="仿宋" w:eastAsia="仿宋" w:cs="Times New Roman"/>
          <w:sz w:val="28"/>
          <w:szCs w:val="28"/>
          <w:lang w:eastAsia="zh-CN"/>
        </w:rPr>
        <w:t>；</w:t>
      </w:r>
      <w:r>
        <w:rPr>
          <w:rFonts w:hint="eastAsia" w:ascii="仿宋" w:hAnsi="仿宋" w:eastAsia="仿宋" w:cs="Times New Roman"/>
          <w:sz w:val="28"/>
          <w:szCs w:val="28"/>
        </w:rPr>
        <w:t>其他支出</w:t>
      </w:r>
      <w:r>
        <w:rPr>
          <w:rFonts w:hint="eastAsia" w:ascii="仿宋" w:hAnsi="仿宋" w:eastAsia="仿宋" w:cs="Times New Roman"/>
          <w:sz w:val="28"/>
          <w:szCs w:val="28"/>
          <w:lang w:val="en-US" w:eastAsia="zh-CN"/>
        </w:rPr>
        <w:t>0</w:t>
      </w:r>
      <w:r>
        <w:rPr>
          <w:rFonts w:hint="eastAsia" w:ascii="仿宋" w:hAnsi="仿宋" w:eastAsia="仿宋" w:cs="Times New Roman"/>
          <w:sz w:val="28"/>
          <w:szCs w:val="28"/>
        </w:rPr>
        <w:t>万元</w:t>
      </w:r>
      <w:r>
        <w:rPr>
          <w:rFonts w:hint="eastAsia" w:ascii="仿宋" w:hAnsi="仿宋" w:eastAsia="仿宋" w:cs="Times New Roman"/>
          <w:sz w:val="28"/>
          <w:szCs w:val="28"/>
          <w:lang w:eastAsia="zh-CN"/>
        </w:rPr>
        <w:t>。</w:t>
      </w:r>
    </w:p>
    <w:p w14:paraId="5CCDDE4D">
      <w:pPr>
        <w:numPr>
          <w:ilvl w:val="0"/>
          <w:numId w:val="0"/>
        </w:numPr>
        <w:adjustRightInd w:val="0"/>
        <w:snapToGrid w:val="0"/>
        <w:spacing w:line="600" w:lineRule="exact"/>
        <w:ind w:firstLine="560" w:firstLineChars="200"/>
        <w:jc w:val="left"/>
        <w:rPr>
          <w:rFonts w:hint="eastAsia" w:ascii="仿宋" w:hAnsi="仿宋" w:eastAsia="仿宋"/>
          <w:sz w:val="28"/>
          <w:szCs w:val="28"/>
          <w:lang w:val="en-US" w:eastAsia="zh-CN"/>
        </w:rPr>
      </w:pPr>
      <w:r>
        <w:rPr>
          <w:rFonts w:hint="eastAsia" w:ascii="仿宋" w:hAnsi="仿宋" w:eastAsia="仿宋"/>
          <w:sz w:val="28"/>
          <w:szCs w:val="28"/>
          <w:lang w:val="en-US" w:eastAsia="zh-CN"/>
        </w:rPr>
        <w:t>3、比上年增减情况</w:t>
      </w:r>
    </w:p>
    <w:p w14:paraId="7CF3EB36">
      <w:pPr>
        <w:numPr>
          <w:ilvl w:val="0"/>
          <w:numId w:val="0"/>
        </w:numPr>
        <w:adjustRightInd w:val="0"/>
        <w:snapToGrid w:val="0"/>
        <w:spacing w:line="600" w:lineRule="exact"/>
        <w:ind w:firstLine="560" w:firstLineChars="200"/>
        <w:jc w:val="left"/>
        <w:rPr>
          <w:rFonts w:hint="eastAsia" w:ascii="仿宋" w:hAnsi="仿宋" w:eastAsia="仿宋"/>
          <w:sz w:val="28"/>
          <w:szCs w:val="28"/>
          <w:lang w:val="en-US" w:eastAsia="zh-CN"/>
        </w:rPr>
      </w:pPr>
      <w:r>
        <w:rPr>
          <w:rFonts w:hint="eastAsia" w:ascii="仿宋" w:hAnsi="仿宋" w:eastAsia="仿宋"/>
          <w:sz w:val="28"/>
          <w:szCs w:val="28"/>
          <w:lang w:val="en-US" w:eastAsia="zh-CN"/>
        </w:rPr>
        <w:t>2019年部门预算收支安排2330.47万元，较2018年减少55.03万元，其中：项目支出减少224.46万元，主要是信息化建设项目支出费用减少了；基本支出增加169.43万元，主要是人员增加，相关费用增加。</w:t>
      </w:r>
    </w:p>
    <w:p w14:paraId="1136C5C2">
      <w:pPr>
        <w:ind w:firstLine="643" w:firstLineChars="200"/>
        <w:outlineLvl w:val="0"/>
        <w:rPr>
          <w:rFonts w:hint="eastAsia" w:ascii="仿宋" w:hAnsi="仿宋" w:eastAsia="仿宋"/>
          <w:b/>
          <w:sz w:val="32"/>
          <w:szCs w:val="32"/>
        </w:rPr>
      </w:pPr>
      <w:r>
        <w:rPr>
          <w:rFonts w:hint="eastAsia" w:ascii="仿宋" w:hAnsi="仿宋" w:eastAsia="仿宋"/>
          <w:b/>
          <w:sz w:val="32"/>
          <w:szCs w:val="32"/>
        </w:rPr>
        <w:t>三、2019年度机关运行经费安排情况说明</w:t>
      </w:r>
    </w:p>
    <w:p w14:paraId="38FA9ECB">
      <w:pPr>
        <w:adjustRightInd w:val="0"/>
        <w:snapToGrid w:val="0"/>
        <w:spacing w:line="600" w:lineRule="exact"/>
        <w:ind w:firstLine="640" w:firstLineChars="200"/>
        <w:jc w:val="left"/>
        <w:rPr>
          <w:rFonts w:hint="eastAsia" w:ascii="仿宋" w:hAnsi="仿宋" w:eastAsia="仿宋"/>
          <w:sz w:val="44"/>
          <w:szCs w:val="44"/>
        </w:rPr>
      </w:pPr>
      <w:r>
        <w:rPr>
          <w:rFonts w:hint="eastAsia" w:ascii="仿宋" w:hAnsi="仿宋" w:eastAsia="仿宋"/>
          <w:sz w:val="32"/>
          <w:szCs w:val="32"/>
        </w:rPr>
        <w:t>2018年预算机关运行经费支出218.66万元。其中：正常公用经费162.22万元，取暖费18.64万元，交通费37.8万元。</w:t>
      </w:r>
    </w:p>
    <w:p w14:paraId="386BD635">
      <w:pPr>
        <w:ind w:firstLine="643" w:firstLineChars="200"/>
        <w:outlineLvl w:val="0"/>
        <w:rPr>
          <w:rFonts w:hint="eastAsia" w:ascii="仿宋" w:hAnsi="仿宋" w:eastAsia="仿宋"/>
          <w:b/>
          <w:sz w:val="32"/>
          <w:szCs w:val="32"/>
        </w:rPr>
      </w:pPr>
      <w:r>
        <w:rPr>
          <w:rFonts w:hint="eastAsia" w:ascii="仿宋" w:hAnsi="仿宋" w:eastAsia="仿宋"/>
          <w:b/>
          <w:sz w:val="32"/>
          <w:szCs w:val="32"/>
        </w:rPr>
        <w:t>四、2019年度“三公”经费支出预算情况说明</w:t>
      </w:r>
    </w:p>
    <w:p w14:paraId="14DFF7F3">
      <w:pPr>
        <w:widowControl/>
        <w:ind w:firstLine="480" w:firstLineChars="15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37.8</w:t>
      </w:r>
      <w:r>
        <w:rPr>
          <w:rFonts w:hint="eastAsia" w:ascii="Times New Roman" w:hAnsi="Times New Roman" w:eastAsia="仿宋" w:cs="Times New Roman"/>
          <w:sz w:val="32"/>
          <w:szCs w:val="32"/>
        </w:rPr>
        <w:t>万元，其中：因公出国（境）费0万元；公务用车购置及运维费</w:t>
      </w:r>
      <w:r>
        <w:rPr>
          <w:rFonts w:hint="eastAsia" w:ascii="Times New Roman" w:hAnsi="Times New Roman" w:eastAsia="仿宋" w:cs="Times New Roman"/>
          <w:sz w:val="32"/>
          <w:szCs w:val="32"/>
          <w:lang w:val="en-US" w:eastAsia="zh-CN"/>
        </w:rPr>
        <w:t>37.8</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37.8</w:t>
      </w:r>
      <w:r>
        <w:rPr>
          <w:rFonts w:hint="eastAsia" w:ascii="Times New Roman" w:hAnsi="Times New Roman" w:eastAsia="仿宋" w:cs="Times New Roman"/>
          <w:sz w:val="32"/>
          <w:szCs w:val="32"/>
        </w:rPr>
        <w:t>万元)；公务接待费0万元。“三公”经费与上年持平，无增减变化。</w:t>
      </w:r>
    </w:p>
    <w:p w14:paraId="36670972">
      <w:pPr>
        <w:widowControl/>
        <w:ind w:firstLine="482" w:firstLineChars="150"/>
        <w:rPr>
          <w:rFonts w:hint="eastAsia" w:ascii="仿宋" w:hAnsi="仿宋" w:eastAsia="仿宋"/>
          <w:b/>
          <w:kern w:val="0"/>
          <w:sz w:val="32"/>
          <w:szCs w:val="32"/>
          <w:lang/>
        </w:rPr>
      </w:pPr>
      <w:r>
        <w:rPr>
          <w:rFonts w:hint="eastAsia" w:ascii="仿宋" w:hAnsi="仿宋" w:eastAsia="仿宋"/>
          <w:b/>
          <w:kern w:val="0"/>
          <w:sz w:val="32"/>
          <w:szCs w:val="32"/>
          <w:lang/>
        </w:rPr>
        <w:t>五、绩效预算信息</w:t>
      </w:r>
    </w:p>
    <w:p w14:paraId="4DB44C20">
      <w:pPr>
        <w:spacing w:line="500" w:lineRule="exact"/>
        <w:ind w:firstLine="560" w:firstLineChars="200"/>
        <w:rPr>
          <w:rFonts w:ascii="方正仿宋_GBK" w:eastAsia="方正仿宋_GBK"/>
          <w:sz w:val="28"/>
        </w:rPr>
      </w:pPr>
      <w:r>
        <w:rPr>
          <w:rFonts w:ascii="方正仿宋_GBK" w:eastAsia="方正仿宋_GBK"/>
          <w:sz w:val="28"/>
        </w:rPr>
        <w:t>总体目标：</w:t>
      </w:r>
    </w:p>
    <w:p w14:paraId="165E8A7E">
      <w:pPr>
        <w:spacing w:line="500" w:lineRule="exact"/>
        <w:ind w:firstLine="560" w:firstLineChars="200"/>
        <w:rPr>
          <w:rFonts w:ascii="方正仿宋_GBK" w:eastAsia="方正仿宋_GBK"/>
          <w:sz w:val="28"/>
        </w:rPr>
      </w:pPr>
      <w:r>
        <w:rPr>
          <w:rFonts w:ascii="方正仿宋_GBK" w:eastAsia="方正仿宋_GBK"/>
          <w:sz w:val="28"/>
        </w:rPr>
        <w:t>以“公正与效率”为主题，充分发挥审判职能作用；以法院改革为动力，全面提高法官整体素质；以强化</w:t>
      </w:r>
      <w:bookmarkStart w:id="3" w:name="_GoBack"/>
      <w:bookmarkEnd w:id="3"/>
      <w:r>
        <w:rPr>
          <w:rFonts w:ascii="方正仿宋_GBK" w:eastAsia="方正仿宋_GBK"/>
          <w:sz w:val="28"/>
        </w:rPr>
        <w:t>内部管理为手段，加强法官队伍建设，；以质量建院为根本，提高审判效率；以人民满意为目标，推进“司法关注民生、审判贴近百姓”新的审判理念，为自治旗全面建设小康社会提供有力的司法保障。全面加强审判和执行工作，促进经济发展和社会进步。依法审判法律规定由区人民法院管辖的刑事、民事、行政等案件，依法办理发生效力判决、其他法律文书的执行，做好审判管理工作。妥善审理经济转型过程中引发的各类矛盾纠纷，依法维护国家安全和社会稳定，要进一步加强刑事审判工作，继续依法严惩危害国家安全、侵害人民群众根本利益的犯罪,。积极推进平安鹿泉建设，营造良好的法治环境。落实司法为民措施，依法及时调解社会矛盾，确保社会稳定。依法及时调整各类市场主体之间的财产、信用和契约关系，平等保护各类市场主体的合法权益，促进国家机关依法行使职权。规范、保障、促进审判执行工作。开展司法技术辅助工作，完成涉法涉诉类案件的息诉罢访工作，依法办理国家赔偿案件，加强行政审判工作和国家赔偿工作，依法审理各类行政案件，妥善解决行政争议，依法确认国家赔偿责任，加强对行政执法活动的监督，保护公民、法人和其他组织的合法权益。。加强法院队伍建设，加强外宣传以及舆论，树立法院良好形象。</w:t>
      </w:r>
    </w:p>
    <w:p w14:paraId="52863164">
      <w:pPr>
        <w:spacing w:line="500" w:lineRule="exact"/>
        <w:ind w:firstLine="560" w:firstLineChars="200"/>
        <w:rPr>
          <w:rFonts w:ascii="方正仿宋_GBK" w:eastAsia="方正仿宋_GBK"/>
          <w:sz w:val="28"/>
        </w:rPr>
      </w:pPr>
      <w:r>
        <w:rPr>
          <w:rFonts w:hint="eastAsia" w:ascii="方正仿宋_GBK" w:eastAsia="方正仿宋_GBK"/>
          <w:sz w:val="28"/>
        </w:rPr>
        <w:t>（一）</w:t>
      </w:r>
      <w:r>
        <w:rPr>
          <w:rFonts w:ascii="方正仿宋_GBK" w:eastAsia="方正仿宋_GBK"/>
          <w:sz w:val="28"/>
        </w:rPr>
        <w:t>、职责分类绩效目标：</w:t>
      </w:r>
    </w:p>
    <w:p w14:paraId="070A16DD">
      <w:pPr>
        <w:spacing w:line="500" w:lineRule="exact"/>
        <w:ind w:firstLine="560" w:firstLineChars="200"/>
        <w:rPr>
          <w:rFonts w:ascii="方正仿宋_GBK" w:eastAsia="方正仿宋_GBK"/>
          <w:sz w:val="28"/>
        </w:rPr>
      </w:pPr>
      <w:r>
        <w:rPr>
          <w:rFonts w:ascii="方正仿宋_GBK" w:eastAsia="方正仿宋_GBK"/>
          <w:sz w:val="28"/>
        </w:rPr>
        <w:t>职责分类绩效目标：提高队伍素质和执行法，高质高效完成各项工作。推进信息公开，提升审判质效，改进司法工作作风。落实司法为民措施，保护被侵权人合法利益。保障信访工作正常进行，提高信访案件结案率。不断完善司法救助，切实保护民生让人民群众感受到司法以人为本，享受到司法人文关怀。      </w:t>
      </w:r>
    </w:p>
    <w:p w14:paraId="31E8915B">
      <w:pPr>
        <w:spacing w:line="500" w:lineRule="exact"/>
        <w:ind w:firstLine="560" w:firstLineChars="200"/>
        <w:rPr>
          <w:rFonts w:ascii="方正仿宋_GBK" w:eastAsia="方正仿宋_GBK"/>
          <w:sz w:val="28"/>
        </w:rPr>
      </w:pPr>
      <w:r>
        <w:rPr>
          <w:rFonts w:ascii="方正仿宋_GBK" w:eastAsia="方正仿宋_GBK"/>
          <w:sz w:val="28"/>
        </w:rPr>
        <w:t>案件审判管理和执行</w:t>
      </w:r>
    </w:p>
    <w:p w14:paraId="12A80703">
      <w:pPr>
        <w:spacing w:line="500" w:lineRule="exact"/>
        <w:ind w:firstLine="560" w:firstLineChars="200"/>
        <w:rPr>
          <w:rFonts w:ascii="方正仿宋_GBK" w:eastAsia="方正仿宋_GBK"/>
          <w:sz w:val="28"/>
        </w:rPr>
      </w:pPr>
      <w:r>
        <w:rPr>
          <w:rFonts w:ascii="方正仿宋_GBK" w:eastAsia="方正仿宋_GBK"/>
          <w:sz w:val="28"/>
        </w:rPr>
        <w:t>依法调整平等主体间的财产关系和人身关系。依法审理限婚姻家庭、劳动争议、损害赔偿等民事案件，积极稳妥处理群体性诉讼、土地承包等案件，加在大知识产权保护力度。依法审判一审刑事、民事、行政案件，依法惩治刑事犯罪，监督行政机关依法行政，促进社会和谐，维护社会稳定，服务全区工作大局，发挥服务保障职能。为进一步推进法院信息化建设更好的促进审判体系和审判能力现代化服务，实现法院信息化。推进法院系统办公办案自动化。诉讼服务中心建设诉讼服务自助多功能终端系统，为诉讼参与人提供一站式自助服务。随着信息化设备的不断增加，中心机房空间、电力等资源超负荷运转的问题越来越突出，为避免发生难以控制的危险，拟对中心机房进行改造。更换老旧的楼层交换机、配线架；增加办公室网络接入点；增加存储空间，解决中心机房无法扩容带来的发展限制。加大执行力度，缓解执行难问题，努力构建统一管理，统一协调的执行工作体制；建立执行督促机制，公开执行信息；加大对不履行生效裁判、妨碍执行行为的司法制裁力度；不断创新执行方式，加强执行力度，有效缓解执行难问题。执行本院已经发生法律效力的法律文书和法律规定由本院执行的其他生效法律文书及委托执行案件。积极推进执行工作，切实保障群众合法权益，维护社会公平正义。加强审判监督工作。既促进司法公正、又维护法院裁判既判力。依法审理纠错，不仅要办理好领导或领导机关转办、交办案件，也要办理各类再审案件，促进一、二审案件审判质量提高。严格再审案件复查、受案条件、规范再审案件开庭程序。总之，规范、保障、促进审判执行工作，完善审判质效评估体系，促进审判质效、健全司法权力运行机制，提升司法公信力。开展司法技术辅助工作，启用司法辅助系统，进一步减轻法官工作量，提高审判效率。</w:t>
      </w:r>
    </w:p>
    <w:p w14:paraId="319BEFD7">
      <w:pPr>
        <w:spacing w:line="500" w:lineRule="exact"/>
        <w:ind w:firstLine="560" w:firstLineChars="200"/>
        <w:rPr>
          <w:rFonts w:ascii="方正仿宋_GBK" w:eastAsia="方正仿宋_GBK"/>
          <w:sz w:val="28"/>
        </w:rPr>
      </w:pPr>
      <w:r>
        <w:rPr>
          <w:rFonts w:ascii="方正仿宋_GBK" w:eastAsia="方正仿宋_GBK"/>
          <w:sz w:val="28"/>
        </w:rPr>
        <w:t>司法救助和国家赔偿</w:t>
      </w:r>
    </w:p>
    <w:p w14:paraId="19658CB1">
      <w:pPr>
        <w:spacing w:line="500" w:lineRule="exact"/>
        <w:ind w:firstLine="560" w:firstLineChars="200"/>
        <w:rPr>
          <w:rFonts w:ascii="方正仿宋_GBK" w:eastAsia="方正仿宋_GBK"/>
          <w:sz w:val="28"/>
        </w:rPr>
      </w:pPr>
      <w:r>
        <w:rPr>
          <w:rFonts w:ascii="方正仿宋_GBK" w:eastAsia="方正仿宋_GBK"/>
          <w:sz w:val="28"/>
        </w:rPr>
        <w:t>改革涉诉信访工作，完成涉诉类案件的息诉罢访工作，依法办理国家赔偿案件。做好“两会”重大活动其间的维稳工作，接待分流越级上访人员、协助处理到上级法院的集体访和闹访人员的稳控遣返工作，保障信访工作正常进行，提高信访案件结案率、信访受理 满意度，维护国家机关的正常工作秩序，做好稳控工作。对受到分割但无法获得有效赔偿的法事人经予资助，不断完善司法救助，切实保护民生，让人民法群众感受到司法以人为本，享受到司法人文关怀。依法办理国家赔偿案件，执行赔偿委员会决定事项。审查处理赔偿千诉申诉案件，保护被侵害人的合法权益，促进行政机关，司法机关依法履行职责。</w:t>
      </w:r>
    </w:p>
    <w:p w14:paraId="274D87BF">
      <w:pPr>
        <w:spacing w:line="500" w:lineRule="exact"/>
        <w:ind w:firstLine="560" w:firstLineChars="200"/>
        <w:rPr>
          <w:rFonts w:ascii="方正仿宋_GBK" w:eastAsia="方正仿宋_GBK"/>
          <w:sz w:val="28"/>
        </w:rPr>
      </w:pPr>
      <w:r>
        <w:rPr>
          <w:rFonts w:ascii="方正仿宋_GBK" w:eastAsia="方正仿宋_GBK"/>
          <w:sz w:val="28"/>
        </w:rPr>
        <w:t>法院事务管理</w:t>
      </w:r>
    </w:p>
    <w:p w14:paraId="54FECB11">
      <w:pPr>
        <w:spacing w:line="500" w:lineRule="exact"/>
        <w:ind w:firstLine="560" w:firstLineChars="200"/>
        <w:rPr>
          <w:rFonts w:ascii="方正仿宋_GBK" w:eastAsia="方正仿宋_GBK"/>
          <w:sz w:val="28"/>
        </w:rPr>
      </w:pPr>
      <w:r>
        <w:rPr>
          <w:rFonts w:ascii="方正仿宋_GBK" w:eastAsia="方正仿宋_GBK"/>
          <w:sz w:val="28"/>
        </w:rPr>
        <w:t>加强法院系统队伍建设，加法院基础设施及信息化建设，加强培训及法院文化建设；总结人民法院审判业务工作经验，建立绩效考核制度，加强对外宣传以及舆论引导，树立法院良好形象，不断提高队伍素质和执法能力，推进信息公开，提升审判质效，改进司法工作作风，树立法院良好形象。领导全区人民法庭的监察工作；管理全区法庭司法行政工作；承办其它应由区级人民法院负责的工作，高质高效完成年度各项工作。根据审判实际需求，实现收结案情况、审限内结案、扣除审限及超审限情况、法官人均结案和法院人均结案情况、个人办案排名情况、庭审直播情况、每庭必录情况、裁判文书上网情况、发还改判等法院管理通报、司法公开通报的相关数据可视化为政府、法院领导的决策和审判业务提供数据支撑。</w:t>
      </w:r>
    </w:p>
    <w:p w14:paraId="05C796B7">
      <w:pPr>
        <w:ind w:firstLine="560" w:firstLineChars="200"/>
        <w:jc w:val="left"/>
        <w:rPr>
          <w:rFonts w:ascii="方正仿宋_GBK" w:eastAsia="方正仿宋_GBK"/>
          <w:sz w:val="28"/>
        </w:rPr>
      </w:pPr>
      <w:r>
        <w:rPr>
          <w:rFonts w:hint="eastAsia" w:ascii="方正仿宋_GBK" w:eastAsia="方正仿宋_GBK"/>
          <w:sz w:val="28"/>
        </w:rPr>
        <w:t>（二）</w:t>
      </w:r>
      <w:r>
        <w:rPr>
          <w:rFonts w:ascii="方正仿宋_GBK" w:eastAsia="方正仿宋_GBK"/>
          <w:sz w:val="28"/>
        </w:rPr>
        <w:t>、实现年度发展规划目标的保障措施</w:t>
      </w:r>
    </w:p>
    <w:p w14:paraId="4F50E8C9">
      <w:pPr>
        <w:spacing w:line="500" w:lineRule="exact"/>
        <w:ind w:firstLine="560" w:firstLineChars="200"/>
        <w:rPr>
          <w:rFonts w:ascii="方正仿宋_GBK" w:eastAsia="方正仿宋_GBK"/>
          <w:sz w:val="28"/>
        </w:rPr>
      </w:pPr>
      <w:r>
        <w:rPr>
          <w:rFonts w:ascii="方正仿宋_GBK" w:eastAsia="方正仿宋_GBK"/>
          <w:sz w:val="28"/>
        </w:rPr>
        <w:t>加强法官队伍建设，努力营造“四个氛围”。巩固先进性教育和专项整改活动成果，继续营造好“四个氛围”：</w:t>
      </w:r>
    </w:p>
    <w:p w14:paraId="42361E1F">
      <w:pPr>
        <w:spacing w:line="500" w:lineRule="exact"/>
        <w:ind w:firstLine="560" w:firstLineChars="200"/>
        <w:rPr>
          <w:rFonts w:ascii="方正仿宋_GBK" w:eastAsia="方正仿宋_GBK"/>
          <w:sz w:val="28"/>
        </w:rPr>
      </w:pPr>
      <w:r>
        <w:rPr>
          <w:rFonts w:ascii="方正仿宋_GBK" w:eastAsia="方正仿宋_GBK"/>
          <w:sz w:val="28"/>
        </w:rPr>
        <w:t xml:space="preserve"> 1. 营造团结紧张、严肃活泼的工作氛围；</w:t>
      </w:r>
    </w:p>
    <w:p w14:paraId="208CF6D2">
      <w:pPr>
        <w:spacing w:line="500" w:lineRule="exact"/>
        <w:ind w:firstLine="560" w:firstLineChars="200"/>
        <w:rPr>
          <w:rFonts w:ascii="方正仿宋_GBK" w:eastAsia="方正仿宋_GBK"/>
          <w:sz w:val="28"/>
        </w:rPr>
      </w:pPr>
      <w:r>
        <w:rPr>
          <w:rFonts w:ascii="方正仿宋_GBK" w:eastAsia="方正仿宋_GBK"/>
          <w:sz w:val="28"/>
        </w:rPr>
        <w:t xml:space="preserve"> 2. 营造关于调查研究，善于发现解决问题，不断总结提高，誓争一流的氛围；</w:t>
      </w:r>
    </w:p>
    <w:p w14:paraId="31C91B99">
      <w:pPr>
        <w:spacing w:line="500" w:lineRule="exact"/>
        <w:ind w:firstLine="560" w:firstLineChars="200"/>
        <w:rPr>
          <w:rFonts w:ascii="方正仿宋_GBK" w:eastAsia="方正仿宋_GBK"/>
          <w:sz w:val="28"/>
        </w:rPr>
      </w:pPr>
      <w:r>
        <w:rPr>
          <w:rFonts w:ascii="方正仿宋_GBK" w:eastAsia="方正仿宋_GBK"/>
          <w:sz w:val="28"/>
        </w:rPr>
        <w:t xml:space="preserve"> 3. 营造人民利益、党的利益高于一切的氛围；</w:t>
      </w:r>
    </w:p>
    <w:p w14:paraId="0B2C518B">
      <w:pPr>
        <w:spacing w:line="500" w:lineRule="exact"/>
        <w:ind w:firstLine="560" w:firstLineChars="200"/>
        <w:rPr>
          <w:rFonts w:ascii="方正仿宋_GBK" w:eastAsia="方正仿宋_GBK"/>
          <w:sz w:val="28"/>
        </w:rPr>
      </w:pPr>
      <w:r>
        <w:rPr>
          <w:rFonts w:ascii="方正仿宋_GBK" w:eastAsia="方正仿宋_GBK"/>
          <w:sz w:val="28"/>
        </w:rPr>
        <w:t xml:space="preserve"> 4. 营造勇于为公正与效率做奉献的氛围。</w:t>
      </w:r>
    </w:p>
    <w:p w14:paraId="183483BD">
      <w:pPr>
        <w:spacing w:line="500" w:lineRule="exact"/>
        <w:ind w:firstLine="560" w:firstLineChars="200"/>
        <w:rPr>
          <w:rFonts w:ascii="方正仿宋_GBK" w:eastAsia="方正仿宋_GBK"/>
          <w:sz w:val="28"/>
        </w:rPr>
      </w:pPr>
      <w:r>
        <w:rPr>
          <w:rFonts w:ascii="方正仿宋_GBK" w:eastAsia="方正仿宋_GBK"/>
          <w:sz w:val="28"/>
        </w:rPr>
        <w:t>提高队伍素质和执法能力，为打造一支思想素质过硬、业务技能精湛、作风纪律优良的队伍，要进一步深化审判方式改革，强化庭审功能，完善诉讼调解制度，继续扩大简易程序适用范围，提高诉讼效率，进一步深化立案改革，规范立案工作职能，依法保护当事人的诉权，同时要严格执法程序，规范执法行为，明确执法人员的执法权限和职责，建立定期学习制度，从多方面开展执法人员的业务培训和业务考核，加强练习各种法律文书的制作和使用。全面提升执法人员的专业化素质，改革涉诉信访工作，推动涉诉信访问题在法治轨道内解决。提高信访受理满意度，认真落实司法为民措施，着力解决社会关注、群众反映的焦点、热点问题，扎扎实实为人民群众办实事，真正达到司法为民、司法便民、司法护民的目的，树立人民法院亲民、爱民、为民的良好形象，不断增强司法公信力和亲和力。</w:t>
      </w:r>
    </w:p>
    <w:p w14:paraId="42A3549E">
      <w:pPr>
        <w:spacing w:line="500" w:lineRule="exact"/>
        <w:ind w:firstLine="560" w:firstLineChars="200"/>
        <w:rPr>
          <w:rFonts w:ascii="方正仿宋_GBK" w:eastAsia="方正仿宋_GBK"/>
          <w:sz w:val="28"/>
        </w:rPr>
      </w:pPr>
    </w:p>
    <w:p w14:paraId="2C7B4D4E">
      <w:pPr>
        <w:rPr>
          <w:rFonts w:hint="eastAsia" w:ascii="仿宋" w:hAnsi="仿宋" w:eastAsia="仿宋"/>
          <w:sz w:val="32"/>
          <w:szCs w:val="32"/>
        </w:rPr>
      </w:pPr>
    </w:p>
    <w:p w14:paraId="63793DFF">
      <w:pPr>
        <w:rPr>
          <w:rFonts w:hint="eastAsia" w:ascii="仿宋" w:hAnsi="仿宋" w:eastAsia="仿宋"/>
          <w:sz w:val="32"/>
          <w:szCs w:val="32"/>
        </w:rPr>
      </w:pPr>
    </w:p>
    <w:p w14:paraId="0AD7C821">
      <w:pPr>
        <w:rPr>
          <w:rFonts w:hint="eastAsia" w:ascii="仿宋" w:hAnsi="仿宋" w:eastAsia="仿宋"/>
          <w:sz w:val="32"/>
          <w:szCs w:val="32"/>
        </w:rPr>
      </w:pPr>
    </w:p>
    <w:p w14:paraId="0A6DC255">
      <w:pPr>
        <w:rPr>
          <w:rFonts w:hint="eastAsia" w:ascii="仿宋" w:hAnsi="仿宋" w:eastAsia="仿宋"/>
          <w:sz w:val="32"/>
          <w:szCs w:val="32"/>
        </w:rPr>
      </w:pPr>
    </w:p>
    <w:p w14:paraId="601BE7A8">
      <w:pPr>
        <w:rPr>
          <w:rFonts w:hint="eastAsia" w:ascii="仿宋" w:hAnsi="仿宋" w:eastAsia="仿宋"/>
          <w:sz w:val="32"/>
          <w:szCs w:val="32"/>
        </w:rPr>
      </w:pPr>
    </w:p>
    <w:p w14:paraId="04EBDC82">
      <w:pPr>
        <w:rPr>
          <w:rFonts w:hint="eastAsia" w:ascii="仿宋" w:hAnsi="仿宋" w:eastAsia="仿宋"/>
          <w:sz w:val="32"/>
          <w:szCs w:val="32"/>
        </w:rPr>
      </w:pPr>
    </w:p>
    <w:p w14:paraId="3F1600B4">
      <w:pPr>
        <w:rPr>
          <w:rFonts w:hint="eastAsia" w:ascii="仿宋" w:hAnsi="仿宋" w:eastAsia="仿宋"/>
          <w:sz w:val="32"/>
          <w:szCs w:val="32"/>
        </w:rPr>
      </w:pPr>
    </w:p>
    <w:p w14:paraId="77B3988C">
      <w:pPr>
        <w:rPr>
          <w:rFonts w:hint="eastAsia" w:ascii="仿宋" w:hAnsi="仿宋" w:eastAsia="仿宋"/>
          <w:sz w:val="32"/>
          <w:szCs w:val="32"/>
        </w:rPr>
      </w:pPr>
    </w:p>
    <w:p w14:paraId="1378C8A7">
      <w:pPr>
        <w:rPr>
          <w:rFonts w:hint="eastAsia" w:ascii="仿宋" w:hAnsi="仿宋" w:eastAsia="仿宋"/>
          <w:sz w:val="32"/>
          <w:szCs w:val="32"/>
        </w:rPr>
      </w:pPr>
    </w:p>
    <w:p w14:paraId="085C860C">
      <w:pPr>
        <w:tabs>
          <w:tab w:val="left" w:pos="975"/>
        </w:tabs>
      </w:pPr>
    </w:p>
    <w:p w14:paraId="749F68B6"/>
    <w:p w14:paraId="3EE4648D">
      <w:pPr>
        <w:sectPr>
          <w:footerReference r:id="rId5" w:type="default"/>
          <w:pgSz w:w="16839" w:h="11907" w:orient="landscape"/>
          <w:pgMar w:top="1134" w:right="1474" w:bottom="1134" w:left="1531" w:header="851" w:footer="992" w:gutter="0"/>
          <w:pgNumType w:start="1"/>
          <w:cols w:space="720" w:num="1"/>
          <w:docGrid w:type="lines" w:linePitch="312" w:charSpace="0"/>
        </w:sectPr>
      </w:pPr>
    </w:p>
    <w:p w14:paraId="4B5B0181">
      <w:pPr>
        <w:jc w:val="center"/>
        <w:outlineLvl w:val="0"/>
        <w:rPr>
          <w:rFonts w:ascii="方正小标宋_GBK" w:eastAsia="方正小标宋_GBK"/>
          <w:color w:val="FFFFFF"/>
          <w:sz w:val="32"/>
        </w:rPr>
      </w:pPr>
      <w:bookmarkStart w:id="0" w:name="_Toc2327120"/>
      <w:r>
        <w:rPr>
          <w:rFonts w:hint="eastAsia" w:ascii="方正小标宋_GBK" w:eastAsia="方正小标宋_GBK"/>
          <w:sz w:val="32"/>
        </w:rPr>
        <w:t>部门职责-工作活动绩效目标</w:t>
      </w:r>
      <w:r>
        <w:rPr>
          <w:rStyle w:val="12"/>
          <w:rFonts w:ascii="方正小标宋_GBK" w:eastAsia="方正小标宋_GBK"/>
          <w:color w:val="FFFFFF"/>
          <w:sz w:val="32"/>
        </w:rPr>
        <w:footnoteReference w:id="0" w:customMarkFollows="1"/>
        <w:sym w:font="Symbol" w:char="F020"/>
      </w:r>
      <w:bookmarkEnd w:id="0"/>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14:paraId="0D1A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tblHeader/>
          <w:jc w:val="center"/>
        </w:trPr>
        <w:tc>
          <w:tcPr>
            <w:tcW w:w="10986" w:type="dxa"/>
            <w:gridSpan w:val="5"/>
            <w:tcBorders>
              <w:top w:val="single" w:color="FFFFFF" w:sz="6" w:space="0"/>
              <w:left w:val="single" w:color="FFFFFF" w:sz="6" w:space="0"/>
              <w:right w:val="single" w:color="FFFFFF" w:sz="6" w:space="0"/>
            </w:tcBorders>
            <w:noWrap w:val="0"/>
            <w:vAlign w:val="center"/>
          </w:tcPr>
          <w:p w14:paraId="2E81E388">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2948" w:type="dxa"/>
            <w:gridSpan w:val="4"/>
            <w:tcBorders>
              <w:top w:val="single" w:color="FFFFFF" w:sz="6" w:space="0"/>
              <w:left w:val="single" w:color="FFFFFF" w:sz="6" w:space="0"/>
              <w:right w:val="single" w:color="FFFFFF" w:sz="6" w:space="0"/>
            </w:tcBorders>
            <w:noWrap w:val="0"/>
            <w:vAlign w:val="center"/>
          </w:tcPr>
          <w:p w14:paraId="70AD0CB9">
            <w:pPr>
              <w:spacing w:line="300" w:lineRule="exact"/>
              <w:jc w:val="right"/>
              <w:rPr>
                <w:rFonts w:ascii="方正书宋_GBK" w:eastAsia="方正书宋_GBK"/>
                <w:sz w:val="24"/>
              </w:rPr>
            </w:pPr>
            <w:r>
              <w:rPr>
                <w:rFonts w:hint="eastAsia" w:ascii="方正书宋_GBK" w:eastAsia="方正书宋_GBK"/>
                <w:sz w:val="24"/>
              </w:rPr>
              <w:t>单位：万元</w:t>
            </w:r>
          </w:p>
        </w:tc>
      </w:tr>
      <w:tr w14:paraId="2FE6D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tblHeader/>
          <w:jc w:val="center"/>
        </w:trPr>
        <w:tc>
          <w:tcPr>
            <w:tcW w:w="2341" w:type="dxa"/>
            <w:vMerge w:val="restart"/>
            <w:noWrap w:val="0"/>
            <w:vAlign w:val="center"/>
          </w:tcPr>
          <w:p w14:paraId="06FE466C">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noWrap w:val="0"/>
            <w:vAlign w:val="center"/>
          </w:tcPr>
          <w:p w14:paraId="0A5A6D71">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noWrap w:val="0"/>
            <w:vAlign w:val="center"/>
          </w:tcPr>
          <w:p w14:paraId="4B2CE9C0">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noWrap w:val="0"/>
            <w:vAlign w:val="center"/>
          </w:tcPr>
          <w:p w14:paraId="0FF3EE9C">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noWrap w:val="0"/>
            <w:vAlign w:val="center"/>
          </w:tcPr>
          <w:p w14:paraId="67C3B453">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noWrap w:val="0"/>
            <w:vAlign w:val="center"/>
          </w:tcPr>
          <w:p w14:paraId="07835619">
            <w:pPr>
              <w:spacing w:line="300" w:lineRule="exact"/>
              <w:jc w:val="center"/>
              <w:rPr>
                <w:rFonts w:ascii="方正书宋_GBK" w:eastAsia="方正书宋_GBK"/>
                <w:b/>
              </w:rPr>
            </w:pPr>
            <w:r>
              <w:rPr>
                <w:rFonts w:hint="eastAsia" w:ascii="方正书宋_GBK" w:eastAsia="方正书宋_GBK"/>
                <w:b/>
              </w:rPr>
              <w:t>评价标准</w:t>
            </w:r>
          </w:p>
        </w:tc>
      </w:tr>
      <w:tr w14:paraId="6517E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tblHeader/>
          <w:jc w:val="center"/>
        </w:trPr>
        <w:tc>
          <w:tcPr>
            <w:tcW w:w="2341" w:type="dxa"/>
            <w:vMerge w:val="continue"/>
            <w:noWrap w:val="0"/>
            <w:vAlign w:val="center"/>
          </w:tcPr>
          <w:p w14:paraId="1D59F0BE">
            <w:pPr>
              <w:spacing w:line="300" w:lineRule="exact"/>
              <w:jc w:val="left"/>
              <w:outlineLvl w:val="0"/>
            </w:pPr>
          </w:p>
        </w:tc>
        <w:tc>
          <w:tcPr>
            <w:tcW w:w="1276" w:type="dxa"/>
            <w:vMerge w:val="continue"/>
            <w:noWrap w:val="0"/>
            <w:vAlign w:val="center"/>
          </w:tcPr>
          <w:p w14:paraId="5D917E33">
            <w:pPr>
              <w:spacing w:line="300" w:lineRule="exact"/>
              <w:jc w:val="left"/>
              <w:outlineLvl w:val="0"/>
            </w:pPr>
          </w:p>
        </w:tc>
        <w:tc>
          <w:tcPr>
            <w:tcW w:w="2976" w:type="dxa"/>
            <w:vMerge w:val="continue"/>
            <w:noWrap w:val="0"/>
            <w:vAlign w:val="center"/>
          </w:tcPr>
          <w:p w14:paraId="5EFBBC72">
            <w:pPr>
              <w:spacing w:line="300" w:lineRule="exact"/>
              <w:jc w:val="left"/>
              <w:outlineLvl w:val="0"/>
            </w:pPr>
          </w:p>
        </w:tc>
        <w:tc>
          <w:tcPr>
            <w:tcW w:w="2976" w:type="dxa"/>
            <w:vMerge w:val="continue"/>
            <w:noWrap w:val="0"/>
            <w:vAlign w:val="center"/>
          </w:tcPr>
          <w:p w14:paraId="34CF60C1">
            <w:pPr>
              <w:spacing w:line="300" w:lineRule="exact"/>
              <w:jc w:val="left"/>
              <w:outlineLvl w:val="0"/>
            </w:pPr>
          </w:p>
        </w:tc>
        <w:tc>
          <w:tcPr>
            <w:tcW w:w="1417" w:type="dxa"/>
            <w:vMerge w:val="continue"/>
            <w:noWrap w:val="0"/>
            <w:vAlign w:val="center"/>
          </w:tcPr>
          <w:p w14:paraId="2C9B43DD">
            <w:pPr>
              <w:spacing w:line="300" w:lineRule="exact"/>
              <w:jc w:val="left"/>
              <w:outlineLvl w:val="0"/>
            </w:pPr>
          </w:p>
        </w:tc>
        <w:tc>
          <w:tcPr>
            <w:tcW w:w="737" w:type="dxa"/>
            <w:noWrap w:val="0"/>
            <w:vAlign w:val="center"/>
          </w:tcPr>
          <w:p w14:paraId="6869B029">
            <w:pPr>
              <w:spacing w:line="300" w:lineRule="exact"/>
              <w:jc w:val="center"/>
              <w:rPr>
                <w:rFonts w:ascii="方正书宋_GBK" w:eastAsia="方正书宋_GBK"/>
                <w:b/>
              </w:rPr>
            </w:pPr>
            <w:r>
              <w:rPr>
                <w:rFonts w:hint="eastAsia" w:ascii="方正书宋_GBK" w:eastAsia="方正书宋_GBK"/>
                <w:b/>
              </w:rPr>
              <w:t>优</w:t>
            </w:r>
          </w:p>
        </w:tc>
        <w:tc>
          <w:tcPr>
            <w:tcW w:w="737" w:type="dxa"/>
            <w:noWrap w:val="0"/>
            <w:vAlign w:val="center"/>
          </w:tcPr>
          <w:p w14:paraId="56B84E78">
            <w:pPr>
              <w:spacing w:line="300" w:lineRule="exact"/>
              <w:jc w:val="center"/>
              <w:rPr>
                <w:rFonts w:ascii="方正书宋_GBK" w:eastAsia="方正书宋_GBK"/>
                <w:b/>
              </w:rPr>
            </w:pPr>
            <w:r>
              <w:rPr>
                <w:rFonts w:hint="eastAsia" w:ascii="方正书宋_GBK" w:eastAsia="方正书宋_GBK"/>
                <w:b/>
              </w:rPr>
              <w:t>良</w:t>
            </w:r>
          </w:p>
        </w:tc>
        <w:tc>
          <w:tcPr>
            <w:tcW w:w="737" w:type="dxa"/>
            <w:noWrap w:val="0"/>
            <w:vAlign w:val="center"/>
          </w:tcPr>
          <w:p w14:paraId="54CC8B81">
            <w:pPr>
              <w:spacing w:line="300" w:lineRule="exact"/>
              <w:jc w:val="center"/>
              <w:rPr>
                <w:rFonts w:ascii="方正书宋_GBK" w:eastAsia="方正书宋_GBK"/>
                <w:b/>
              </w:rPr>
            </w:pPr>
            <w:r>
              <w:rPr>
                <w:rFonts w:hint="eastAsia" w:ascii="方正书宋_GBK" w:eastAsia="方正书宋_GBK"/>
                <w:b/>
              </w:rPr>
              <w:t>中</w:t>
            </w:r>
          </w:p>
        </w:tc>
        <w:tc>
          <w:tcPr>
            <w:tcW w:w="737" w:type="dxa"/>
            <w:noWrap w:val="0"/>
            <w:vAlign w:val="center"/>
          </w:tcPr>
          <w:p w14:paraId="4C9DA684">
            <w:pPr>
              <w:spacing w:line="300" w:lineRule="exact"/>
              <w:jc w:val="center"/>
              <w:rPr>
                <w:rFonts w:ascii="方正书宋_GBK" w:eastAsia="方正书宋_GBK"/>
                <w:b/>
              </w:rPr>
            </w:pPr>
            <w:r>
              <w:rPr>
                <w:rFonts w:hint="eastAsia" w:ascii="方正书宋_GBK" w:eastAsia="方正书宋_GBK"/>
                <w:b/>
              </w:rPr>
              <w:t>差</w:t>
            </w:r>
          </w:p>
        </w:tc>
      </w:tr>
      <w:tr w14:paraId="10C5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noWrap w:val="0"/>
            <w:vAlign w:val="center"/>
          </w:tcPr>
          <w:p w14:paraId="1900A02A">
            <w:pPr>
              <w:spacing w:line="300" w:lineRule="exact"/>
              <w:jc w:val="left"/>
              <w:rPr>
                <w:rFonts w:ascii="方正书宋_GBK" w:eastAsia="方正书宋_GBK"/>
                <w:b/>
              </w:rPr>
            </w:pPr>
            <w:r>
              <w:rPr>
                <w:rFonts w:hint="eastAsia" w:ascii="方正书宋_GBK" w:eastAsia="方正书宋_GBK"/>
                <w:b/>
              </w:rPr>
              <w:t>一、案件审判管理和执行</w:t>
            </w:r>
          </w:p>
        </w:tc>
        <w:tc>
          <w:tcPr>
            <w:tcW w:w="1276" w:type="dxa"/>
            <w:noWrap w:val="0"/>
            <w:vAlign w:val="center"/>
          </w:tcPr>
          <w:p w14:paraId="19EA9EF2">
            <w:pPr>
              <w:spacing w:line="300" w:lineRule="exact"/>
              <w:jc w:val="left"/>
              <w:rPr>
                <w:rFonts w:ascii="方正书宋_GBK" w:eastAsia="方正书宋_GBK"/>
              </w:rPr>
            </w:pPr>
            <w:r>
              <w:rPr>
                <w:rFonts w:ascii="方正书宋_GBK" w:eastAsia="方正书宋_GBK"/>
              </w:rPr>
              <w:t>610.44</w:t>
            </w:r>
          </w:p>
        </w:tc>
        <w:tc>
          <w:tcPr>
            <w:tcW w:w="2976" w:type="dxa"/>
            <w:noWrap w:val="0"/>
            <w:vAlign w:val="center"/>
          </w:tcPr>
          <w:p w14:paraId="315A0F9C">
            <w:pPr>
              <w:spacing w:line="300" w:lineRule="exact"/>
              <w:jc w:val="left"/>
              <w:rPr>
                <w:rFonts w:ascii="方正书宋_GBK" w:eastAsia="方正书宋_GBK"/>
              </w:rPr>
            </w:pPr>
            <w:r>
              <w:rPr>
                <w:rFonts w:hint="eastAsia" w:ascii="方正书宋_GBK" w:eastAsia="方正书宋_GBK"/>
              </w:rPr>
              <w:t>依法审判法律规定由区级人民法院管辖的刑事、民事、行政等一审案件，依法办理发生法律效力判决、其他法律文书的执行，做好审判管理工作。</w:t>
            </w:r>
          </w:p>
        </w:tc>
        <w:tc>
          <w:tcPr>
            <w:tcW w:w="2976" w:type="dxa"/>
            <w:noWrap w:val="0"/>
            <w:vAlign w:val="center"/>
          </w:tcPr>
          <w:p w14:paraId="3D4A5585">
            <w:pPr>
              <w:spacing w:line="300" w:lineRule="exact"/>
              <w:jc w:val="left"/>
              <w:rPr>
                <w:rFonts w:ascii="方正书宋_GBK" w:eastAsia="方正书宋_GBK"/>
              </w:rPr>
            </w:pPr>
            <w:r>
              <w:rPr>
                <w:rFonts w:hint="eastAsia" w:ascii="方正书宋_GBK" w:eastAsia="方正书宋_GBK"/>
              </w:rPr>
              <w:t>妥善审理经济转型过程中引发的各类矛盾纠纷，依法维护国家安全和社会稳定，严惩各类严重刑事犯罪，积极推进平安鹿泉建设，营造良好的法治环境。</w:t>
            </w:r>
          </w:p>
        </w:tc>
        <w:tc>
          <w:tcPr>
            <w:tcW w:w="1417" w:type="dxa"/>
            <w:noWrap w:val="0"/>
            <w:vAlign w:val="center"/>
          </w:tcPr>
          <w:p w14:paraId="34DF1B4D">
            <w:pPr>
              <w:spacing w:line="300" w:lineRule="exact"/>
              <w:jc w:val="left"/>
              <w:rPr>
                <w:rFonts w:ascii="方正书宋_GBK" w:eastAsia="方正书宋_GBK"/>
              </w:rPr>
            </w:pPr>
          </w:p>
        </w:tc>
        <w:tc>
          <w:tcPr>
            <w:tcW w:w="737" w:type="dxa"/>
            <w:noWrap w:val="0"/>
            <w:vAlign w:val="center"/>
          </w:tcPr>
          <w:p w14:paraId="6A30800A">
            <w:pPr>
              <w:spacing w:line="300" w:lineRule="exact"/>
              <w:jc w:val="center"/>
              <w:rPr>
                <w:rFonts w:ascii="方正书宋_GBK" w:eastAsia="方正书宋_GBK"/>
              </w:rPr>
            </w:pPr>
          </w:p>
        </w:tc>
        <w:tc>
          <w:tcPr>
            <w:tcW w:w="737" w:type="dxa"/>
            <w:noWrap w:val="0"/>
            <w:vAlign w:val="center"/>
          </w:tcPr>
          <w:p w14:paraId="4D0F87E7">
            <w:pPr>
              <w:spacing w:line="300" w:lineRule="exact"/>
              <w:jc w:val="center"/>
              <w:rPr>
                <w:rFonts w:ascii="方正书宋_GBK" w:eastAsia="方正书宋_GBK"/>
              </w:rPr>
            </w:pPr>
          </w:p>
        </w:tc>
        <w:tc>
          <w:tcPr>
            <w:tcW w:w="737" w:type="dxa"/>
            <w:noWrap w:val="0"/>
            <w:vAlign w:val="center"/>
          </w:tcPr>
          <w:p w14:paraId="2D78902A">
            <w:pPr>
              <w:spacing w:line="300" w:lineRule="exact"/>
              <w:jc w:val="center"/>
              <w:rPr>
                <w:rFonts w:ascii="方正书宋_GBK" w:eastAsia="方正书宋_GBK"/>
              </w:rPr>
            </w:pPr>
          </w:p>
        </w:tc>
        <w:tc>
          <w:tcPr>
            <w:tcW w:w="737" w:type="dxa"/>
            <w:noWrap w:val="0"/>
            <w:vAlign w:val="center"/>
          </w:tcPr>
          <w:p w14:paraId="4A3265AC">
            <w:pPr>
              <w:spacing w:line="300" w:lineRule="exact"/>
              <w:jc w:val="center"/>
              <w:rPr>
                <w:rFonts w:ascii="方正书宋_GBK" w:eastAsia="方正书宋_GBK"/>
              </w:rPr>
            </w:pPr>
          </w:p>
        </w:tc>
      </w:tr>
      <w:tr w14:paraId="1513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restart"/>
            <w:noWrap w:val="0"/>
            <w:vAlign w:val="center"/>
          </w:tcPr>
          <w:p w14:paraId="67A83AE3">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、案件审判</w:t>
            </w:r>
          </w:p>
        </w:tc>
        <w:tc>
          <w:tcPr>
            <w:tcW w:w="1276" w:type="dxa"/>
            <w:vMerge w:val="restart"/>
            <w:noWrap w:val="0"/>
            <w:vAlign w:val="center"/>
          </w:tcPr>
          <w:p w14:paraId="32DD4064">
            <w:pPr>
              <w:spacing w:line="300" w:lineRule="exact"/>
              <w:jc w:val="left"/>
              <w:rPr>
                <w:rFonts w:ascii="方正书宋_GBK" w:eastAsia="方正书宋_GBK"/>
              </w:rPr>
            </w:pPr>
            <w:r>
              <w:rPr>
                <w:rFonts w:ascii="方正书宋_GBK" w:eastAsia="方正书宋_GBK"/>
              </w:rPr>
              <w:t>580.00</w:t>
            </w:r>
          </w:p>
        </w:tc>
        <w:tc>
          <w:tcPr>
            <w:tcW w:w="2976" w:type="dxa"/>
            <w:vMerge w:val="restart"/>
            <w:noWrap w:val="0"/>
            <w:vAlign w:val="center"/>
          </w:tcPr>
          <w:p w14:paraId="0BDE658D">
            <w:pPr>
              <w:spacing w:line="300" w:lineRule="exact"/>
              <w:jc w:val="left"/>
              <w:rPr>
                <w:rFonts w:hint="eastAsia" w:ascii="方正书宋_GBK" w:eastAsia="方正书宋_GBK"/>
              </w:rPr>
            </w:pPr>
            <w:r>
              <w:rPr>
                <w:rFonts w:hint="eastAsia" w:ascii="方正书宋_GBK" w:eastAsia="方正书宋_GBK"/>
              </w:rPr>
              <w:t>依法审判一审刑事、民事、行政案件。</w:t>
            </w:r>
          </w:p>
        </w:tc>
        <w:tc>
          <w:tcPr>
            <w:tcW w:w="2976" w:type="dxa"/>
            <w:vMerge w:val="restart"/>
            <w:noWrap w:val="0"/>
            <w:vAlign w:val="center"/>
          </w:tcPr>
          <w:p w14:paraId="560AC874">
            <w:pPr>
              <w:spacing w:line="300" w:lineRule="exact"/>
              <w:jc w:val="left"/>
              <w:rPr>
                <w:rFonts w:hint="eastAsia" w:ascii="方正书宋_GBK" w:eastAsia="方正书宋_GBK"/>
              </w:rPr>
            </w:pPr>
            <w:r>
              <w:rPr>
                <w:rFonts w:hint="eastAsia" w:ascii="方正书宋_GBK" w:eastAsia="方正书宋_GBK"/>
              </w:rPr>
              <w:t>依法惩治刑事犯罪，监督行政机关依法行政，促进社会和谐，维护社会稳定，服务全区工作大局，发挥服务保障职能。</w:t>
            </w:r>
          </w:p>
        </w:tc>
        <w:tc>
          <w:tcPr>
            <w:tcW w:w="1417" w:type="dxa"/>
            <w:noWrap w:val="0"/>
            <w:vAlign w:val="center"/>
          </w:tcPr>
          <w:p w14:paraId="48AB7B8D">
            <w:pPr>
              <w:spacing w:line="300" w:lineRule="exact"/>
              <w:jc w:val="left"/>
              <w:rPr>
                <w:rFonts w:ascii="方正书宋_GBK" w:eastAsia="方正书宋_GBK"/>
              </w:rPr>
            </w:pPr>
            <w:r>
              <w:rPr>
                <w:rFonts w:hint="eastAsia" w:ascii="方正书宋_GBK" w:eastAsia="方正书宋_GBK"/>
              </w:rPr>
              <w:t>审限结案率</w:t>
            </w:r>
          </w:p>
        </w:tc>
        <w:tc>
          <w:tcPr>
            <w:tcW w:w="737" w:type="dxa"/>
            <w:noWrap w:val="0"/>
            <w:vAlign w:val="center"/>
          </w:tcPr>
          <w:p w14:paraId="7AE9C01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96%</w:t>
            </w:r>
          </w:p>
        </w:tc>
        <w:tc>
          <w:tcPr>
            <w:tcW w:w="737" w:type="dxa"/>
            <w:noWrap w:val="0"/>
            <w:vAlign w:val="center"/>
          </w:tcPr>
          <w:p w14:paraId="5B59BF57">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94%</w:t>
            </w:r>
          </w:p>
        </w:tc>
        <w:tc>
          <w:tcPr>
            <w:tcW w:w="737" w:type="dxa"/>
            <w:noWrap w:val="0"/>
            <w:vAlign w:val="center"/>
          </w:tcPr>
          <w:p w14:paraId="7BB2D51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92%</w:t>
            </w:r>
          </w:p>
        </w:tc>
        <w:tc>
          <w:tcPr>
            <w:tcW w:w="737" w:type="dxa"/>
            <w:noWrap w:val="0"/>
            <w:vAlign w:val="center"/>
          </w:tcPr>
          <w:p w14:paraId="0781830B">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92%</w:t>
            </w:r>
          </w:p>
        </w:tc>
      </w:tr>
      <w:tr w14:paraId="3C30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3792CE9F">
            <w:pPr>
              <w:spacing w:line="300" w:lineRule="exact"/>
              <w:jc w:val="left"/>
              <w:rPr>
                <w:rFonts w:hint="eastAsia" w:ascii="方正书宋_GBK" w:eastAsia="方正书宋_GBK"/>
                <w:b/>
              </w:rPr>
            </w:pPr>
          </w:p>
        </w:tc>
        <w:tc>
          <w:tcPr>
            <w:tcW w:w="1276" w:type="dxa"/>
            <w:vMerge w:val="continue"/>
            <w:noWrap w:val="0"/>
            <w:vAlign w:val="center"/>
          </w:tcPr>
          <w:p w14:paraId="6151F6DE">
            <w:pPr>
              <w:spacing w:line="300" w:lineRule="exact"/>
              <w:jc w:val="left"/>
              <w:rPr>
                <w:rFonts w:ascii="方正书宋_GBK" w:eastAsia="方正书宋_GBK"/>
              </w:rPr>
            </w:pPr>
          </w:p>
        </w:tc>
        <w:tc>
          <w:tcPr>
            <w:tcW w:w="2976" w:type="dxa"/>
            <w:vMerge w:val="continue"/>
            <w:noWrap w:val="0"/>
            <w:vAlign w:val="center"/>
          </w:tcPr>
          <w:p w14:paraId="2E6121F2">
            <w:pPr>
              <w:spacing w:line="300" w:lineRule="exact"/>
              <w:jc w:val="left"/>
              <w:rPr>
                <w:rFonts w:hint="eastAsia" w:ascii="方正书宋_GBK" w:eastAsia="方正书宋_GBK"/>
              </w:rPr>
            </w:pPr>
          </w:p>
        </w:tc>
        <w:tc>
          <w:tcPr>
            <w:tcW w:w="2976" w:type="dxa"/>
            <w:vMerge w:val="continue"/>
            <w:noWrap w:val="0"/>
            <w:vAlign w:val="center"/>
          </w:tcPr>
          <w:p w14:paraId="34C94C50">
            <w:pPr>
              <w:spacing w:line="300" w:lineRule="exact"/>
              <w:jc w:val="left"/>
              <w:rPr>
                <w:rFonts w:hint="eastAsia" w:ascii="方正书宋_GBK" w:eastAsia="方正书宋_GBK"/>
              </w:rPr>
            </w:pPr>
          </w:p>
        </w:tc>
        <w:tc>
          <w:tcPr>
            <w:tcW w:w="1417" w:type="dxa"/>
            <w:noWrap w:val="0"/>
            <w:vAlign w:val="center"/>
          </w:tcPr>
          <w:p w14:paraId="4F8A6296">
            <w:pPr>
              <w:spacing w:line="300" w:lineRule="exact"/>
              <w:jc w:val="left"/>
              <w:rPr>
                <w:rFonts w:hint="eastAsia" w:ascii="方正书宋_GBK" w:eastAsia="方正书宋_GBK"/>
              </w:rPr>
            </w:pPr>
            <w:r>
              <w:rPr>
                <w:rFonts w:hint="eastAsia" w:ascii="方正书宋_GBK" w:eastAsia="方正书宋_GBK"/>
              </w:rPr>
              <w:t>平均审理天数（天）</w:t>
            </w:r>
          </w:p>
        </w:tc>
        <w:tc>
          <w:tcPr>
            <w:tcW w:w="737" w:type="dxa"/>
            <w:noWrap w:val="0"/>
            <w:vAlign w:val="center"/>
          </w:tcPr>
          <w:p w14:paraId="7186F32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50</w:t>
            </w:r>
          </w:p>
        </w:tc>
        <w:tc>
          <w:tcPr>
            <w:tcW w:w="737" w:type="dxa"/>
            <w:noWrap w:val="0"/>
            <w:vAlign w:val="center"/>
          </w:tcPr>
          <w:p w14:paraId="23A0CA8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55</w:t>
            </w:r>
          </w:p>
        </w:tc>
        <w:tc>
          <w:tcPr>
            <w:tcW w:w="737" w:type="dxa"/>
            <w:noWrap w:val="0"/>
            <w:vAlign w:val="center"/>
          </w:tcPr>
          <w:p w14:paraId="1EEC865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14:paraId="2077019E">
            <w:pPr>
              <w:spacing w:line="300" w:lineRule="exact"/>
              <w:jc w:val="center"/>
              <w:rPr>
                <w:rFonts w:hint="eastAsia" w:ascii="方正书宋_GBK" w:eastAsia="方正书宋_GBK"/>
              </w:rPr>
            </w:pPr>
            <w:r>
              <w:rPr>
                <w:rFonts w:ascii="方正书宋_GBK" w:eastAsia="方正书宋_GBK"/>
              </w:rPr>
              <w:t>60</w:t>
            </w:r>
            <w:r>
              <w:rPr>
                <w:rFonts w:hint="eastAsia" w:ascii="方正书宋_GBK" w:eastAsia="方正书宋_GBK"/>
              </w:rPr>
              <w:t>天以上</w:t>
            </w:r>
          </w:p>
        </w:tc>
      </w:tr>
      <w:tr w14:paraId="056F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3C07ACE1">
            <w:pPr>
              <w:spacing w:line="300" w:lineRule="exact"/>
              <w:jc w:val="left"/>
              <w:rPr>
                <w:rFonts w:hint="eastAsia" w:ascii="方正书宋_GBK" w:eastAsia="方正书宋_GBK"/>
                <w:b/>
              </w:rPr>
            </w:pPr>
          </w:p>
        </w:tc>
        <w:tc>
          <w:tcPr>
            <w:tcW w:w="1276" w:type="dxa"/>
            <w:vMerge w:val="continue"/>
            <w:noWrap w:val="0"/>
            <w:vAlign w:val="center"/>
          </w:tcPr>
          <w:p w14:paraId="27819094">
            <w:pPr>
              <w:spacing w:line="300" w:lineRule="exact"/>
              <w:jc w:val="left"/>
              <w:rPr>
                <w:rFonts w:ascii="方正书宋_GBK" w:eastAsia="方正书宋_GBK"/>
              </w:rPr>
            </w:pPr>
          </w:p>
        </w:tc>
        <w:tc>
          <w:tcPr>
            <w:tcW w:w="2976" w:type="dxa"/>
            <w:vMerge w:val="continue"/>
            <w:noWrap w:val="0"/>
            <w:vAlign w:val="center"/>
          </w:tcPr>
          <w:p w14:paraId="3F6B431D">
            <w:pPr>
              <w:spacing w:line="300" w:lineRule="exact"/>
              <w:jc w:val="left"/>
              <w:rPr>
                <w:rFonts w:hint="eastAsia" w:ascii="方正书宋_GBK" w:eastAsia="方正书宋_GBK"/>
              </w:rPr>
            </w:pPr>
          </w:p>
        </w:tc>
        <w:tc>
          <w:tcPr>
            <w:tcW w:w="2976" w:type="dxa"/>
            <w:vMerge w:val="continue"/>
            <w:noWrap w:val="0"/>
            <w:vAlign w:val="center"/>
          </w:tcPr>
          <w:p w14:paraId="22E5BAD6">
            <w:pPr>
              <w:spacing w:line="300" w:lineRule="exact"/>
              <w:jc w:val="left"/>
              <w:rPr>
                <w:rFonts w:hint="eastAsia" w:ascii="方正书宋_GBK" w:eastAsia="方正书宋_GBK"/>
              </w:rPr>
            </w:pPr>
          </w:p>
        </w:tc>
        <w:tc>
          <w:tcPr>
            <w:tcW w:w="1417" w:type="dxa"/>
            <w:noWrap w:val="0"/>
            <w:vAlign w:val="center"/>
          </w:tcPr>
          <w:p w14:paraId="0093AEED">
            <w:pPr>
              <w:spacing w:line="300" w:lineRule="exact"/>
              <w:jc w:val="left"/>
              <w:rPr>
                <w:rFonts w:hint="eastAsia" w:ascii="方正书宋_GBK" w:eastAsia="方正书宋_GBK"/>
              </w:rPr>
            </w:pPr>
            <w:r>
              <w:rPr>
                <w:rFonts w:hint="eastAsia" w:ascii="方正书宋_GBK" w:eastAsia="方正书宋_GBK"/>
              </w:rPr>
              <w:t>案件结案率</w:t>
            </w:r>
          </w:p>
        </w:tc>
        <w:tc>
          <w:tcPr>
            <w:tcW w:w="737" w:type="dxa"/>
            <w:noWrap w:val="0"/>
            <w:vAlign w:val="center"/>
          </w:tcPr>
          <w:p w14:paraId="5EADC7D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14:paraId="7811756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14:paraId="074A027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75%</w:t>
            </w:r>
          </w:p>
        </w:tc>
        <w:tc>
          <w:tcPr>
            <w:tcW w:w="737" w:type="dxa"/>
            <w:noWrap w:val="0"/>
            <w:vAlign w:val="center"/>
          </w:tcPr>
          <w:p w14:paraId="4C12F442">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14:paraId="414F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restart"/>
            <w:noWrap w:val="0"/>
            <w:vAlign w:val="center"/>
          </w:tcPr>
          <w:p w14:paraId="32BECB03">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、案件判决执行</w:t>
            </w:r>
          </w:p>
        </w:tc>
        <w:tc>
          <w:tcPr>
            <w:tcW w:w="1276" w:type="dxa"/>
            <w:vMerge w:val="restart"/>
            <w:noWrap w:val="0"/>
            <w:vAlign w:val="center"/>
          </w:tcPr>
          <w:p w14:paraId="48F1C57A">
            <w:pPr>
              <w:spacing w:line="300" w:lineRule="exact"/>
              <w:jc w:val="left"/>
              <w:rPr>
                <w:rFonts w:ascii="方正书宋_GBK" w:eastAsia="方正书宋_GBK"/>
              </w:rPr>
            </w:pPr>
          </w:p>
        </w:tc>
        <w:tc>
          <w:tcPr>
            <w:tcW w:w="2976" w:type="dxa"/>
            <w:vMerge w:val="restart"/>
            <w:noWrap w:val="0"/>
            <w:vAlign w:val="center"/>
          </w:tcPr>
          <w:p w14:paraId="7577524F">
            <w:pPr>
              <w:spacing w:line="300" w:lineRule="exact"/>
              <w:jc w:val="left"/>
              <w:rPr>
                <w:rFonts w:hint="eastAsia" w:ascii="方正书宋_GBK" w:eastAsia="方正书宋_GBK"/>
              </w:rPr>
            </w:pPr>
            <w:r>
              <w:rPr>
                <w:rFonts w:hint="eastAsia" w:ascii="方正书宋_GBK" w:eastAsia="方正书宋_GBK"/>
              </w:rPr>
              <w:t>执行本院已经发生法律效力的法律文书和法律规定由本院执行的其他生效法律文书及委托执行案件。</w:t>
            </w:r>
          </w:p>
        </w:tc>
        <w:tc>
          <w:tcPr>
            <w:tcW w:w="2976" w:type="dxa"/>
            <w:vMerge w:val="restart"/>
            <w:noWrap w:val="0"/>
            <w:vAlign w:val="center"/>
          </w:tcPr>
          <w:p w14:paraId="767CBCED">
            <w:pPr>
              <w:spacing w:line="300" w:lineRule="exact"/>
              <w:jc w:val="left"/>
              <w:rPr>
                <w:rFonts w:hint="eastAsia" w:ascii="方正书宋_GBK" w:eastAsia="方正书宋_GBK"/>
              </w:rPr>
            </w:pPr>
            <w:r>
              <w:rPr>
                <w:rFonts w:hint="eastAsia" w:ascii="方正书宋_GBK" w:eastAsia="方正书宋_GBK"/>
              </w:rPr>
              <w:t>积极推进执行工作，切实保障群众合法权益，维护社会公平正义。</w:t>
            </w:r>
          </w:p>
        </w:tc>
        <w:tc>
          <w:tcPr>
            <w:tcW w:w="1417" w:type="dxa"/>
            <w:noWrap w:val="0"/>
            <w:vAlign w:val="center"/>
          </w:tcPr>
          <w:p w14:paraId="0D45AF18">
            <w:pPr>
              <w:spacing w:line="300" w:lineRule="exact"/>
              <w:jc w:val="left"/>
              <w:rPr>
                <w:rFonts w:hint="eastAsia" w:ascii="方正书宋_GBK" w:eastAsia="方正书宋_GBK"/>
              </w:rPr>
            </w:pPr>
            <w:r>
              <w:rPr>
                <w:rFonts w:hint="eastAsia" w:ascii="方正书宋_GBK" w:eastAsia="方正书宋_GBK"/>
              </w:rPr>
              <w:t>提前执结率</w:t>
            </w:r>
          </w:p>
        </w:tc>
        <w:tc>
          <w:tcPr>
            <w:tcW w:w="737" w:type="dxa"/>
            <w:noWrap w:val="0"/>
            <w:vAlign w:val="center"/>
          </w:tcPr>
          <w:p w14:paraId="7589E45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noWrap w:val="0"/>
            <w:vAlign w:val="center"/>
          </w:tcPr>
          <w:p w14:paraId="2B0AD07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noWrap w:val="0"/>
            <w:vAlign w:val="center"/>
          </w:tcPr>
          <w:p w14:paraId="5C7DE62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noWrap w:val="0"/>
            <w:vAlign w:val="center"/>
          </w:tcPr>
          <w:p w14:paraId="6CB0E6CA">
            <w:pPr>
              <w:spacing w:line="300" w:lineRule="exact"/>
              <w:jc w:val="center"/>
              <w:rPr>
                <w:rFonts w:hint="eastAsia" w:ascii="方正书宋_GBK" w:eastAsia="方正书宋_GBK"/>
              </w:rPr>
            </w:pPr>
            <w:r>
              <w:rPr>
                <w:rFonts w:ascii="方正书宋_GBK" w:eastAsia="方正书宋_GBK"/>
              </w:rPr>
              <w:t>5%</w:t>
            </w:r>
            <w:r>
              <w:rPr>
                <w:rFonts w:hint="eastAsia" w:ascii="方正书宋_GBK" w:eastAsia="方正书宋_GBK"/>
              </w:rPr>
              <w:t>以下</w:t>
            </w:r>
          </w:p>
        </w:tc>
      </w:tr>
      <w:tr w14:paraId="2BC1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1950647A">
            <w:pPr>
              <w:spacing w:line="300" w:lineRule="exact"/>
              <w:jc w:val="left"/>
              <w:rPr>
                <w:rFonts w:hint="eastAsia" w:ascii="方正书宋_GBK" w:eastAsia="方正书宋_GBK"/>
                <w:b/>
              </w:rPr>
            </w:pPr>
          </w:p>
        </w:tc>
        <w:tc>
          <w:tcPr>
            <w:tcW w:w="1276" w:type="dxa"/>
            <w:vMerge w:val="continue"/>
            <w:noWrap w:val="0"/>
            <w:vAlign w:val="center"/>
          </w:tcPr>
          <w:p w14:paraId="32A132AB">
            <w:pPr>
              <w:spacing w:line="300" w:lineRule="exact"/>
              <w:jc w:val="left"/>
              <w:rPr>
                <w:rFonts w:ascii="方正书宋_GBK" w:eastAsia="方正书宋_GBK"/>
              </w:rPr>
            </w:pPr>
          </w:p>
        </w:tc>
        <w:tc>
          <w:tcPr>
            <w:tcW w:w="2976" w:type="dxa"/>
            <w:vMerge w:val="continue"/>
            <w:noWrap w:val="0"/>
            <w:vAlign w:val="center"/>
          </w:tcPr>
          <w:p w14:paraId="77473FE7">
            <w:pPr>
              <w:spacing w:line="300" w:lineRule="exact"/>
              <w:jc w:val="left"/>
              <w:rPr>
                <w:rFonts w:hint="eastAsia" w:ascii="方正书宋_GBK" w:eastAsia="方正书宋_GBK"/>
              </w:rPr>
            </w:pPr>
          </w:p>
        </w:tc>
        <w:tc>
          <w:tcPr>
            <w:tcW w:w="2976" w:type="dxa"/>
            <w:vMerge w:val="continue"/>
            <w:noWrap w:val="0"/>
            <w:vAlign w:val="center"/>
          </w:tcPr>
          <w:p w14:paraId="71783C7E">
            <w:pPr>
              <w:spacing w:line="300" w:lineRule="exact"/>
              <w:jc w:val="left"/>
              <w:rPr>
                <w:rFonts w:hint="eastAsia" w:ascii="方正书宋_GBK" w:eastAsia="方正书宋_GBK"/>
              </w:rPr>
            </w:pPr>
          </w:p>
        </w:tc>
        <w:tc>
          <w:tcPr>
            <w:tcW w:w="1417" w:type="dxa"/>
            <w:noWrap w:val="0"/>
            <w:vAlign w:val="center"/>
          </w:tcPr>
          <w:p w14:paraId="2A1DC576">
            <w:pPr>
              <w:spacing w:line="300" w:lineRule="exact"/>
              <w:jc w:val="left"/>
              <w:rPr>
                <w:rFonts w:hint="eastAsia" w:ascii="方正书宋_GBK" w:eastAsia="方正书宋_GBK"/>
              </w:rPr>
            </w:pPr>
            <w:r>
              <w:rPr>
                <w:rFonts w:hint="eastAsia" w:ascii="方正书宋_GBK" w:eastAsia="方正书宋_GBK"/>
              </w:rPr>
              <w:t>执行案件结案率</w:t>
            </w:r>
          </w:p>
        </w:tc>
        <w:tc>
          <w:tcPr>
            <w:tcW w:w="737" w:type="dxa"/>
            <w:noWrap w:val="0"/>
            <w:vAlign w:val="center"/>
          </w:tcPr>
          <w:p w14:paraId="042A8F2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14:paraId="5CA10B3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noWrap w:val="0"/>
            <w:vAlign w:val="center"/>
          </w:tcPr>
          <w:p w14:paraId="515E9B3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14:paraId="1FC26C18">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r>
      <w:tr w14:paraId="469D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5592D4B3">
            <w:pPr>
              <w:spacing w:line="300" w:lineRule="exact"/>
              <w:jc w:val="left"/>
              <w:rPr>
                <w:rFonts w:hint="eastAsia" w:ascii="方正书宋_GBK" w:eastAsia="方正书宋_GBK"/>
                <w:b/>
              </w:rPr>
            </w:pPr>
          </w:p>
        </w:tc>
        <w:tc>
          <w:tcPr>
            <w:tcW w:w="1276" w:type="dxa"/>
            <w:vMerge w:val="continue"/>
            <w:noWrap w:val="0"/>
            <w:vAlign w:val="center"/>
          </w:tcPr>
          <w:p w14:paraId="6928A143">
            <w:pPr>
              <w:spacing w:line="300" w:lineRule="exact"/>
              <w:jc w:val="left"/>
              <w:rPr>
                <w:rFonts w:ascii="方正书宋_GBK" w:eastAsia="方正书宋_GBK"/>
              </w:rPr>
            </w:pPr>
          </w:p>
        </w:tc>
        <w:tc>
          <w:tcPr>
            <w:tcW w:w="2976" w:type="dxa"/>
            <w:vMerge w:val="continue"/>
            <w:noWrap w:val="0"/>
            <w:vAlign w:val="center"/>
          </w:tcPr>
          <w:p w14:paraId="353EB5C7">
            <w:pPr>
              <w:spacing w:line="300" w:lineRule="exact"/>
              <w:jc w:val="left"/>
              <w:rPr>
                <w:rFonts w:hint="eastAsia" w:ascii="方正书宋_GBK" w:eastAsia="方正书宋_GBK"/>
              </w:rPr>
            </w:pPr>
          </w:p>
        </w:tc>
        <w:tc>
          <w:tcPr>
            <w:tcW w:w="2976" w:type="dxa"/>
            <w:vMerge w:val="continue"/>
            <w:noWrap w:val="0"/>
            <w:vAlign w:val="center"/>
          </w:tcPr>
          <w:p w14:paraId="4B38C382">
            <w:pPr>
              <w:spacing w:line="300" w:lineRule="exact"/>
              <w:jc w:val="left"/>
              <w:rPr>
                <w:rFonts w:hint="eastAsia" w:ascii="方正书宋_GBK" w:eastAsia="方正书宋_GBK"/>
              </w:rPr>
            </w:pPr>
          </w:p>
        </w:tc>
        <w:tc>
          <w:tcPr>
            <w:tcW w:w="1417" w:type="dxa"/>
            <w:noWrap w:val="0"/>
            <w:vAlign w:val="center"/>
          </w:tcPr>
          <w:p w14:paraId="61321DFF">
            <w:pPr>
              <w:spacing w:line="300" w:lineRule="exact"/>
              <w:jc w:val="left"/>
              <w:rPr>
                <w:rFonts w:hint="eastAsia" w:ascii="方正书宋_GBK" w:eastAsia="方正书宋_GBK"/>
              </w:rPr>
            </w:pPr>
            <w:r>
              <w:rPr>
                <w:rFonts w:hint="eastAsia" w:ascii="方正书宋_GBK" w:eastAsia="方正书宋_GBK"/>
              </w:rPr>
              <w:t>执行公开率</w:t>
            </w:r>
          </w:p>
        </w:tc>
        <w:tc>
          <w:tcPr>
            <w:tcW w:w="737" w:type="dxa"/>
            <w:noWrap w:val="0"/>
            <w:vAlign w:val="center"/>
          </w:tcPr>
          <w:p w14:paraId="1ED0D011">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14:paraId="381700A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17D4148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14:paraId="1AC18C4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25198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restart"/>
            <w:noWrap w:val="0"/>
            <w:vAlign w:val="center"/>
          </w:tcPr>
          <w:p w14:paraId="01847AEE">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、审判管理</w:t>
            </w:r>
          </w:p>
        </w:tc>
        <w:tc>
          <w:tcPr>
            <w:tcW w:w="1276" w:type="dxa"/>
            <w:vMerge w:val="restart"/>
            <w:noWrap w:val="0"/>
            <w:vAlign w:val="center"/>
          </w:tcPr>
          <w:p w14:paraId="03AFB3C9">
            <w:pPr>
              <w:spacing w:line="300" w:lineRule="exact"/>
              <w:jc w:val="left"/>
              <w:rPr>
                <w:rFonts w:ascii="方正书宋_GBK" w:eastAsia="方正书宋_GBK"/>
              </w:rPr>
            </w:pPr>
            <w:r>
              <w:rPr>
                <w:rFonts w:ascii="方正书宋_GBK" w:eastAsia="方正书宋_GBK"/>
              </w:rPr>
              <w:t>30.44</w:t>
            </w:r>
          </w:p>
        </w:tc>
        <w:tc>
          <w:tcPr>
            <w:tcW w:w="2976" w:type="dxa"/>
            <w:vMerge w:val="restart"/>
            <w:noWrap w:val="0"/>
            <w:vAlign w:val="center"/>
          </w:tcPr>
          <w:p w14:paraId="14BA5F13">
            <w:pPr>
              <w:spacing w:line="300" w:lineRule="exact"/>
              <w:jc w:val="left"/>
              <w:rPr>
                <w:rFonts w:hint="eastAsia" w:ascii="方正书宋_GBK" w:eastAsia="方正书宋_GBK"/>
              </w:rPr>
            </w:pPr>
            <w:r>
              <w:rPr>
                <w:rFonts w:hint="eastAsia" w:ascii="方正书宋_GBK" w:eastAsia="方正书宋_GBK"/>
              </w:rPr>
              <w:t>规范、保障、促进审判执行工作，包括：案件信息管理、案件质量评估、案件质量评查、审判流程管理、审判运势分析等。</w:t>
            </w:r>
          </w:p>
        </w:tc>
        <w:tc>
          <w:tcPr>
            <w:tcW w:w="2976" w:type="dxa"/>
            <w:vMerge w:val="restart"/>
            <w:noWrap w:val="0"/>
            <w:vAlign w:val="center"/>
          </w:tcPr>
          <w:p w14:paraId="6D0FD892">
            <w:pPr>
              <w:spacing w:line="300" w:lineRule="exact"/>
              <w:jc w:val="left"/>
              <w:rPr>
                <w:rFonts w:hint="eastAsia" w:ascii="方正书宋_GBK" w:eastAsia="方正书宋_GBK"/>
              </w:rPr>
            </w:pPr>
            <w:r>
              <w:rPr>
                <w:rFonts w:hint="eastAsia" w:ascii="方正书宋_GBK" w:eastAsia="方正书宋_GBK"/>
              </w:rPr>
              <w:t>完善审判质效评估体系，促进审判质效、健全司法权力运行机制，提升司法公信力。</w:t>
            </w:r>
          </w:p>
        </w:tc>
        <w:tc>
          <w:tcPr>
            <w:tcW w:w="1417" w:type="dxa"/>
            <w:noWrap w:val="0"/>
            <w:vAlign w:val="center"/>
          </w:tcPr>
          <w:p w14:paraId="7B64857B">
            <w:pPr>
              <w:spacing w:line="300" w:lineRule="exact"/>
              <w:jc w:val="left"/>
              <w:rPr>
                <w:rFonts w:hint="eastAsia" w:ascii="方正书宋_GBK" w:eastAsia="方正书宋_GBK"/>
              </w:rPr>
            </w:pPr>
            <w:r>
              <w:rPr>
                <w:rFonts w:hint="eastAsia" w:ascii="方正书宋_GBK" w:eastAsia="方正书宋_GBK"/>
              </w:rPr>
              <w:t>审判流程合规率</w:t>
            </w:r>
          </w:p>
        </w:tc>
        <w:tc>
          <w:tcPr>
            <w:tcW w:w="737" w:type="dxa"/>
            <w:noWrap w:val="0"/>
            <w:vAlign w:val="center"/>
          </w:tcPr>
          <w:p w14:paraId="6FE7C6C0">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14:paraId="072310F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14:paraId="133057A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14:paraId="525587C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7346F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2F896D16">
            <w:pPr>
              <w:spacing w:line="300" w:lineRule="exact"/>
              <w:jc w:val="left"/>
              <w:rPr>
                <w:rFonts w:hint="eastAsia" w:ascii="方正书宋_GBK" w:eastAsia="方正书宋_GBK"/>
                <w:b/>
              </w:rPr>
            </w:pPr>
          </w:p>
        </w:tc>
        <w:tc>
          <w:tcPr>
            <w:tcW w:w="1276" w:type="dxa"/>
            <w:vMerge w:val="continue"/>
            <w:noWrap w:val="0"/>
            <w:vAlign w:val="center"/>
          </w:tcPr>
          <w:p w14:paraId="3ABB24EC">
            <w:pPr>
              <w:spacing w:line="300" w:lineRule="exact"/>
              <w:jc w:val="left"/>
              <w:rPr>
                <w:rFonts w:ascii="方正书宋_GBK" w:eastAsia="方正书宋_GBK"/>
              </w:rPr>
            </w:pPr>
          </w:p>
        </w:tc>
        <w:tc>
          <w:tcPr>
            <w:tcW w:w="2976" w:type="dxa"/>
            <w:vMerge w:val="continue"/>
            <w:noWrap w:val="0"/>
            <w:vAlign w:val="center"/>
          </w:tcPr>
          <w:p w14:paraId="3E01C3BE">
            <w:pPr>
              <w:spacing w:line="300" w:lineRule="exact"/>
              <w:jc w:val="left"/>
              <w:rPr>
                <w:rFonts w:hint="eastAsia" w:ascii="方正书宋_GBK" w:eastAsia="方正书宋_GBK"/>
              </w:rPr>
            </w:pPr>
          </w:p>
        </w:tc>
        <w:tc>
          <w:tcPr>
            <w:tcW w:w="2976" w:type="dxa"/>
            <w:vMerge w:val="continue"/>
            <w:noWrap w:val="0"/>
            <w:vAlign w:val="center"/>
          </w:tcPr>
          <w:p w14:paraId="74446FB7">
            <w:pPr>
              <w:spacing w:line="300" w:lineRule="exact"/>
              <w:jc w:val="left"/>
              <w:rPr>
                <w:rFonts w:hint="eastAsia" w:ascii="方正书宋_GBK" w:eastAsia="方正书宋_GBK"/>
              </w:rPr>
            </w:pPr>
          </w:p>
        </w:tc>
        <w:tc>
          <w:tcPr>
            <w:tcW w:w="1417" w:type="dxa"/>
            <w:noWrap w:val="0"/>
            <w:vAlign w:val="center"/>
          </w:tcPr>
          <w:p w14:paraId="57CEB72E">
            <w:pPr>
              <w:spacing w:line="300" w:lineRule="exact"/>
              <w:jc w:val="left"/>
              <w:rPr>
                <w:rFonts w:hint="eastAsia" w:ascii="方正书宋_GBK" w:eastAsia="方正书宋_GBK"/>
              </w:rPr>
            </w:pPr>
            <w:r>
              <w:rPr>
                <w:rFonts w:hint="eastAsia" w:ascii="方正书宋_GBK" w:eastAsia="方正书宋_GBK"/>
              </w:rPr>
              <w:t>审判流程公开率</w:t>
            </w:r>
          </w:p>
        </w:tc>
        <w:tc>
          <w:tcPr>
            <w:tcW w:w="737" w:type="dxa"/>
            <w:noWrap w:val="0"/>
            <w:vAlign w:val="center"/>
          </w:tcPr>
          <w:p w14:paraId="4CBECBF3">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14:paraId="52E6A5E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17D4A50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14:paraId="39B0711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319C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10D41520">
            <w:pPr>
              <w:spacing w:line="300" w:lineRule="exact"/>
              <w:jc w:val="left"/>
              <w:rPr>
                <w:rFonts w:hint="eastAsia" w:ascii="方正书宋_GBK" w:eastAsia="方正书宋_GBK"/>
                <w:b/>
              </w:rPr>
            </w:pPr>
          </w:p>
        </w:tc>
        <w:tc>
          <w:tcPr>
            <w:tcW w:w="1276" w:type="dxa"/>
            <w:vMerge w:val="continue"/>
            <w:noWrap w:val="0"/>
            <w:vAlign w:val="center"/>
          </w:tcPr>
          <w:p w14:paraId="2073C3BF">
            <w:pPr>
              <w:spacing w:line="300" w:lineRule="exact"/>
              <w:jc w:val="left"/>
              <w:rPr>
                <w:rFonts w:ascii="方正书宋_GBK" w:eastAsia="方正书宋_GBK"/>
              </w:rPr>
            </w:pPr>
          </w:p>
        </w:tc>
        <w:tc>
          <w:tcPr>
            <w:tcW w:w="2976" w:type="dxa"/>
            <w:vMerge w:val="continue"/>
            <w:noWrap w:val="0"/>
            <w:vAlign w:val="center"/>
          </w:tcPr>
          <w:p w14:paraId="34FAE230">
            <w:pPr>
              <w:spacing w:line="300" w:lineRule="exact"/>
              <w:jc w:val="left"/>
              <w:rPr>
                <w:rFonts w:hint="eastAsia" w:ascii="方正书宋_GBK" w:eastAsia="方正书宋_GBK"/>
              </w:rPr>
            </w:pPr>
          </w:p>
        </w:tc>
        <w:tc>
          <w:tcPr>
            <w:tcW w:w="2976" w:type="dxa"/>
            <w:vMerge w:val="continue"/>
            <w:noWrap w:val="0"/>
            <w:vAlign w:val="center"/>
          </w:tcPr>
          <w:p w14:paraId="4385B46D">
            <w:pPr>
              <w:spacing w:line="300" w:lineRule="exact"/>
              <w:jc w:val="left"/>
              <w:rPr>
                <w:rFonts w:hint="eastAsia" w:ascii="方正书宋_GBK" w:eastAsia="方正书宋_GBK"/>
              </w:rPr>
            </w:pPr>
          </w:p>
        </w:tc>
        <w:tc>
          <w:tcPr>
            <w:tcW w:w="1417" w:type="dxa"/>
            <w:noWrap w:val="0"/>
            <w:vAlign w:val="center"/>
          </w:tcPr>
          <w:p w14:paraId="61238E96">
            <w:pPr>
              <w:spacing w:line="300" w:lineRule="exact"/>
              <w:jc w:val="left"/>
              <w:rPr>
                <w:rFonts w:hint="eastAsia" w:ascii="方正书宋_GBK" w:eastAsia="方正书宋_GBK"/>
              </w:rPr>
            </w:pPr>
            <w:r>
              <w:rPr>
                <w:rFonts w:hint="eastAsia" w:ascii="方正书宋_GBK" w:eastAsia="方正书宋_GBK"/>
              </w:rPr>
              <w:t>案件信息合格率</w:t>
            </w:r>
          </w:p>
        </w:tc>
        <w:tc>
          <w:tcPr>
            <w:tcW w:w="737" w:type="dxa"/>
            <w:noWrap w:val="0"/>
            <w:vAlign w:val="center"/>
          </w:tcPr>
          <w:p w14:paraId="4C1B32C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14:paraId="71541E7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011BD57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14:paraId="366245B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27B8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restart"/>
            <w:noWrap w:val="0"/>
            <w:vAlign w:val="center"/>
          </w:tcPr>
          <w:p w14:paraId="0EED3F85">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、司法技术辅助</w:t>
            </w:r>
          </w:p>
        </w:tc>
        <w:tc>
          <w:tcPr>
            <w:tcW w:w="1276" w:type="dxa"/>
            <w:vMerge w:val="restart"/>
            <w:noWrap w:val="0"/>
            <w:vAlign w:val="center"/>
          </w:tcPr>
          <w:p w14:paraId="52E02A55">
            <w:pPr>
              <w:spacing w:line="300" w:lineRule="exact"/>
              <w:jc w:val="left"/>
              <w:rPr>
                <w:rFonts w:ascii="方正书宋_GBK" w:eastAsia="方正书宋_GBK"/>
              </w:rPr>
            </w:pPr>
          </w:p>
        </w:tc>
        <w:tc>
          <w:tcPr>
            <w:tcW w:w="2976" w:type="dxa"/>
            <w:vMerge w:val="restart"/>
            <w:noWrap w:val="0"/>
            <w:vAlign w:val="center"/>
          </w:tcPr>
          <w:p w14:paraId="756FBA3E">
            <w:pPr>
              <w:spacing w:line="300" w:lineRule="exact"/>
              <w:jc w:val="left"/>
              <w:rPr>
                <w:rFonts w:hint="eastAsia" w:ascii="方正书宋_GBK" w:eastAsia="方正书宋_GBK"/>
              </w:rPr>
            </w:pPr>
            <w:r>
              <w:rPr>
                <w:rFonts w:hint="eastAsia" w:ascii="方正书宋_GBK" w:eastAsia="方正书宋_GBK"/>
              </w:rPr>
              <w:t>开展司法技术辅助工作。对审判工作技术咨询、技术审核服务，主要工作包括：对外委托鉴定、评估、审计、拍卖、组织专家审核等。</w:t>
            </w:r>
          </w:p>
        </w:tc>
        <w:tc>
          <w:tcPr>
            <w:tcW w:w="2976" w:type="dxa"/>
            <w:vMerge w:val="restart"/>
            <w:noWrap w:val="0"/>
            <w:vAlign w:val="center"/>
          </w:tcPr>
          <w:p w14:paraId="4B041C00">
            <w:pPr>
              <w:spacing w:line="300" w:lineRule="exact"/>
              <w:jc w:val="left"/>
              <w:rPr>
                <w:rFonts w:hint="eastAsia" w:ascii="方正书宋_GBK" w:eastAsia="方正书宋_GBK"/>
              </w:rPr>
            </w:pPr>
            <w:r>
              <w:rPr>
                <w:rFonts w:hint="eastAsia" w:ascii="方正书宋_GBK" w:eastAsia="方正书宋_GBK"/>
              </w:rPr>
              <w:t>为案件审判提供技术支撑，提高办案质量。</w:t>
            </w:r>
          </w:p>
        </w:tc>
        <w:tc>
          <w:tcPr>
            <w:tcW w:w="1417" w:type="dxa"/>
            <w:noWrap w:val="0"/>
            <w:vAlign w:val="center"/>
          </w:tcPr>
          <w:p w14:paraId="4F10295D">
            <w:pPr>
              <w:spacing w:line="300" w:lineRule="exact"/>
              <w:jc w:val="left"/>
              <w:rPr>
                <w:rFonts w:hint="eastAsia" w:ascii="方正书宋_GBK" w:eastAsia="方正书宋_GBK"/>
              </w:rPr>
            </w:pPr>
            <w:r>
              <w:rPr>
                <w:rFonts w:hint="eastAsia" w:ascii="方正书宋_GBK" w:eastAsia="方正书宋_GBK"/>
              </w:rPr>
              <w:t>司法技术辅助工作完成率</w:t>
            </w:r>
          </w:p>
        </w:tc>
        <w:tc>
          <w:tcPr>
            <w:tcW w:w="737" w:type="dxa"/>
            <w:noWrap w:val="0"/>
            <w:vAlign w:val="center"/>
          </w:tcPr>
          <w:p w14:paraId="7403C29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14:paraId="12A2DB32">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39A3E44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14:paraId="6D72ECE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r>
      <w:tr w14:paraId="36EF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607BCB77">
            <w:pPr>
              <w:spacing w:line="300" w:lineRule="exact"/>
              <w:jc w:val="left"/>
              <w:rPr>
                <w:rFonts w:hint="eastAsia" w:ascii="方正书宋_GBK" w:eastAsia="方正书宋_GBK"/>
                <w:b/>
              </w:rPr>
            </w:pPr>
          </w:p>
        </w:tc>
        <w:tc>
          <w:tcPr>
            <w:tcW w:w="1276" w:type="dxa"/>
            <w:vMerge w:val="continue"/>
            <w:noWrap w:val="0"/>
            <w:vAlign w:val="center"/>
          </w:tcPr>
          <w:p w14:paraId="5BBD30F5">
            <w:pPr>
              <w:spacing w:line="300" w:lineRule="exact"/>
              <w:jc w:val="left"/>
              <w:rPr>
                <w:rFonts w:ascii="方正书宋_GBK" w:eastAsia="方正书宋_GBK"/>
              </w:rPr>
            </w:pPr>
          </w:p>
        </w:tc>
        <w:tc>
          <w:tcPr>
            <w:tcW w:w="2976" w:type="dxa"/>
            <w:vMerge w:val="continue"/>
            <w:noWrap w:val="0"/>
            <w:vAlign w:val="center"/>
          </w:tcPr>
          <w:p w14:paraId="2CBC656D">
            <w:pPr>
              <w:spacing w:line="300" w:lineRule="exact"/>
              <w:jc w:val="left"/>
              <w:rPr>
                <w:rFonts w:hint="eastAsia" w:ascii="方正书宋_GBK" w:eastAsia="方正书宋_GBK"/>
              </w:rPr>
            </w:pPr>
          </w:p>
        </w:tc>
        <w:tc>
          <w:tcPr>
            <w:tcW w:w="2976" w:type="dxa"/>
            <w:vMerge w:val="continue"/>
            <w:noWrap w:val="0"/>
            <w:vAlign w:val="center"/>
          </w:tcPr>
          <w:p w14:paraId="1F6C0556">
            <w:pPr>
              <w:spacing w:line="300" w:lineRule="exact"/>
              <w:jc w:val="left"/>
              <w:rPr>
                <w:rFonts w:hint="eastAsia" w:ascii="方正书宋_GBK" w:eastAsia="方正书宋_GBK"/>
              </w:rPr>
            </w:pPr>
          </w:p>
        </w:tc>
        <w:tc>
          <w:tcPr>
            <w:tcW w:w="1417" w:type="dxa"/>
            <w:noWrap w:val="0"/>
            <w:vAlign w:val="center"/>
          </w:tcPr>
          <w:p w14:paraId="5006115E">
            <w:pPr>
              <w:spacing w:line="300" w:lineRule="exact"/>
              <w:jc w:val="left"/>
              <w:rPr>
                <w:rFonts w:hint="eastAsia" w:ascii="方正书宋_GBK" w:eastAsia="方正书宋_GBK"/>
              </w:rPr>
            </w:pPr>
            <w:r>
              <w:rPr>
                <w:rFonts w:hint="eastAsia" w:ascii="方正书宋_GBK" w:eastAsia="方正书宋_GBK"/>
              </w:rPr>
              <w:t>司法鉴定工作办结率</w:t>
            </w:r>
          </w:p>
        </w:tc>
        <w:tc>
          <w:tcPr>
            <w:tcW w:w="737" w:type="dxa"/>
            <w:noWrap w:val="0"/>
            <w:vAlign w:val="center"/>
          </w:tcPr>
          <w:p w14:paraId="50D0FA9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737" w:type="dxa"/>
            <w:noWrap w:val="0"/>
            <w:vAlign w:val="center"/>
          </w:tcPr>
          <w:p w14:paraId="33837B1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737" w:type="dxa"/>
            <w:noWrap w:val="0"/>
            <w:vAlign w:val="center"/>
          </w:tcPr>
          <w:p w14:paraId="7818E66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737" w:type="dxa"/>
            <w:noWrap w:val="0"/>
            <w:vAlign w:val="center"/>
          </w:tcPr>
          <w:p w14:paraId="629805E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1C11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noWrap w:val="0"/>
            <w:vAlign w:val="center"/>
          </w:tcPr>
          <w:p w14:paraId="20808128">
            <w:pPr>
              <w:spacing w:line="300" w:lineRule="exact"/>
              <w:jc w:val="left"/>
              <w:rPr>
                <w:rFonts w:hint="eastAsia" w:ascii="方正书宋_GBK" w:eastAsia="方正书宋_GBK"/>
                <w:b/>
              </w:rPr>
            </w:pPr>
            <w:r>
              <w:rPr>
                <w:rFonts w:hint="eastAsia" w:ascii="方正书宋_GBK" w:eastAsia="方正书宋_GBK"/>
                <w:b/>
              </w:rPr>
              <w:t>二、司法救助和国家赔偿</w:t>
            </w:r>
          </w:p>
        </w:tc>
        <w:tc>
          <w:tcPr>
            <w:tcW w:w="1276" w:type="dxa"/>
            <w:noWrap w:val="0"/>
            <w:vAlign w:val="center"/>
          </w:tcPr>
          <w:p w14:paraId="395A0856">
            <w:pPr>
              <w:spacing w:line="300" w:lineRule="exact"/>
              <w:jc w:val="left"/>
              <w:rPr>
                <w:rFonts w:ascii="方正书宋_GBK" w:eastAsia="方正书宋_GBK"/>
              </w:rPr>
            </w:pPr>
          </w:p>
        </w:tc>
        <w:tc>
          <w:tcPr>
            <w:tcW w:w="2976" w:type="dxa"/>
            <w:noWrap w:val="0"/>
            <w:vAlign w:val="center"/>
          </w:tcPr>
          <w:p w14:paraId="625301CC">
            <w:pPr>
              <w:spacing w:line="300" w:lineRule="exact"/>
              <w:jc w:val="left"/>
              <w:rPr>
                <w:rFonts w:hint="eastAsia" w:ascii="方正书宋_GBK" w:eastAsia="方正书宋_GBK"/>
              </w:rPr>
            </w:pPr>
            <w:r>
              <w:rPr>
                <w:rFonts w:hint="eastAsia" w:ascii="方正书宋_GBK" w:eastAsia="方正书宋_GBK"/>
              </w:rPr>
              <w:t>完成涉法涉诉类案件的息诉罢访工作，依法办理国家赔偿案件。</w:t>
            </w:r>
          </w:p>
        </w:tc>
        <w:tc>
          <w:tcPr>
            <w:tcW w:w="2976" w:type="dxa"/>
            <w:noWrap w:val="0"/>
            <w:vAlign w:val="center"/>
          </w:tcPr>
          <w:p w14:paraId="6DB6E22C">
            <w:pPr>
              <w:spacing w:line="300" w:lineRule="exact"/>
              <w:jc w:val="left"/>
              <w:rPr>
                <w:rFonts w:hint="eastAsia" w:ascii="方正书宋_GBK" w:eastAsia="方正书宋_GBK"/>
              </w:rPr>
            </w:pPr>
            <w:r>
              <w:rPr>
                <w:rFonts w:hint="eastAsia" w:ascii="方正书宋_GBK" w:eastAsia="方正书宋_GBK"/>
              </w:rPr>
              <w:t>改革涉诉信访工作，推动涉诉信访问题在法治轨道内解决；落实司法为民措施，保护被侵权人合法利益，促进国家机关依法行使职权。</w:t>
            </w:r>
          </w:p>
        </w:tc>
        <w:tc>
          <w:tcPr>
            <w:tcW w:w="1417" w:type="dxa"/>
            <w:noWrap w:val="0"/>
            <w:vAlign w:val="center"/>
          </w:tcPr>
          <w:p w14:paraId="5FA30739">
            <w:pPr>
              <w:spacing w:line="300" w:lineRule="exact"/>
              <w:jc w:val="left"/>
              <w:rPr>
                <w:rFonts w:hint="eastAsia" w:ascii="方正书宋_GBK" w:eastAsia="方正书宋_GBK"/>
              </w:rPr>
            </w:pPr>
          </w:p>
        </w:tc>
        <w:tc>
          <w:tcPr>
            <w:tcW w:w="737" w:type="dxa"/>
            <w:noWrap w:val="0"/>
            <w:vAlign w:val="center"/>
          </w:tcPr>
          <w:p w14:paraId="1EC17DA5">
            <w:pPr>
              <w:spacing w:line="300" w:lineRule="exact"/>
              <w:jc w:val="center"/>
              <w:rPr>
                <w:rFonts w:hint="eastAsia" w:ascii="方正书宋_GBK" w:eastAsia="方正书宋_GBK"/>
              </w:rPr>
            </w:pPr>
          </w:p>
        </w:tc>
        <w:tc>
          <w:tcPr>
            <w:tcW w:w="737" w:type="dxa"/>
            <w:noWrap w:val="0"/>
            <w:vAlign w:val="center"/>
          </w:tcPr>
          <w:p w14:paraId="1E2B4B81">
            <w:pPr>
              <w:spacing w:line="300" w:lineRule="exact"/>
              <w:jc w:val="center"/>
              <w:rPr>
                <w:rFonts w:hint="eastAsia" w:ascii="方正书宋_GBK" w:eastAsia="方正书宋_GBK"/>
              </w:rPr>
            </w:pPr>
          </w:p>
        </w:tc>
        <w:tc>
          <w:tcPr>
            <w:tcW w:w="737" w:type="dxa"/>
            <w:noWrap w:val="0"/>
            <w:vAlign w:val="center"/>
          </w:tcPr>
          <w:p w14:paraId="40CABA38">
            <w:pPr>
              <w:spacing w:line="300" w:lineRule="exact"/>
              <w:jc w:val="center"/>
              <w:rPr>
                <w:rFonts w:hint="eastAsia" w:ascii="方正书宋_GBK" w:eastAsia="方正书宋_GBK"/>
              </w:rPr>
            </w:pPr>
          </w:p>
        </w:tc>
        <w:tc>
          <w:tcPr>
            <w:tcW w:w="737" w:type="dxa"/>
            <w:noWrap w:val="0"/>
            <w:vAlign w:val="center"/>
          </w:tcPr>
          <w:p w14:paraId="201BC9E5">
            <w:pPr>
              <w:spacing w:line="300" w:lineRule="exact"/>
              <w:jc w:val="center"/>
              <w:rPr>
                <w:rFonts w:hint="eastAsia" w:ascii="方正书宋_GBK" w:eastAsia="方正书宋_GBK"/>
              </w:rPr>
            </w:pPr>
          </w:p>
        </w:tc>
      </w:tr>
      <w:tr w14:paraId="73F3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restart"/>
            <w:noWrap w:val="0"/>
            <w:vAlign w:val="center"/>
          </w:tcPr>
          <w:p w14:paraId="77D78680">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、涉法涉诉</w:t>
            </w:r>
          </w:p>
        </w:tc>
        <w:tc>
          <w:tcPr>
            <w:tcW w:w="1276" w:type="dxa"/>
            <w:vMerge w:val="restart"/>
            <w:noWrap w:val="0"/>
            <w:vAlign w:val="center"/>
          </w:tcPr>
          <w:p w14:paraId="67130796">
            <w:pPr>
              <w:spacing w:line="300" w:lineRule="exact"/>
              <w:jc w:val="left"/>
              <w:rPr>
                <w:rFonts w:ascii="方正书宋_GBK" w:eastAsia="方正书宋_GBK"/>
              </w:rPr>
            </w:pPr>
          </w:p>
        </w:tc>
        <w:tc>
          <w:tcPr>
            <w:tcW w:w="2976" w:type="dxa"/>
            <w:vMerge w:val="restart"/>
            <w:noWrap w:val="0"/>
            <w:vAlign w:val="center"/>
          </w:tcPr>
          <w:p w14:paraId="48C520C9">
            <w:pPr>
              <w:spacing w:line="300" w:lineRule="exact"/>
              <w:jc w:val="left"/>
              <w:rPr>
                <w:rFonts w:hint="eastAsia" w:ascii="方正书宋_GBK" w:eastAsia="方正书宋_GBK"/>
              </w:rPr>
            </w:pPr>
            <w:r>
              <w:rPr>
                <w:rFonts w:hint="eastAsia" w:ascii="方正书宋_GBK" w:eastAsia="方正书宋_GBK"/>
              </w:rPr>
              <w:t>完成涉法涉诉类上访案件的息诉罢访工作，做好</w:t>
            </w:r>
            <w:r>
              <w:rPr>
                <w:rFonts w:hint="cs" w:ascii="方正书宋_GBK" w:eastAsia="方正书宋_GBK"/>
                <w:cs/>
              </w:rPr>
              <w:t>“</w:t>
            </w:r>
            <w:r>
              <w:rPr>
                <w:rFonts w:hint="eastAsia" w:ascii="方正书宋_GBK" w:eastAsia="方正书宋_GBK"/>
              </w:rPr>
              <w:t>两会</w:t>
            </w:r>
            <w:r>
              <w:rPr>
                <w:rFonts w:hint="cs" w:ascii="方正书宋_GBK" w:eastAsia="方正书宋_GBK"/>
                <w:cs/>
              </w:rPr>
              <w:t>”</w:t>
            </w:r>
            <w:r>
              <w:rPr>
                <w:rFonts w:hint="eastAsia" w:ascii="方正书宋_GBK" w:eastAsia="方正书宋_GBK"/>
              </w:rPr>
              <w:t>、重大活动期间的维稳工作，接待分流越级上访人员、协助处理到上级法院的集体访和闹访人员的稳控遣返工作。</w:t>
            </w:r>
          </w:p>
        </w:tc>
        <w:tc>
          <w:tcPr>
            <w:tcW w:w="2976" w:type="dxa"/>
            <w:vMerge w:val="restart"/>
            <w:noWrap w:val="0"/>
            <w:vAlign w:val="center"/>
          </w:tcPr>
          <w:p w14:paraId="29CC2412">
            <w:pPr>
              <w:spacing w:line="300" w:lineRule="exact"/>
              <w:jc w:val="left"/>
              <w:rPr>
                <w:rFonts w:hint="eastAsia" w:ascii="方正书宋_GBK" w:eastAsia="方正书宋_GBK"/>
              </w:rPr>
            </w:pPr>
            <w:r>
              <w:rPr>
                <w:rFonts w:hint="eastAsia" w:ascii="方正书宋_GBK" w:eastAsia="方正书宋_GBK"/>
              </w:rPr>
              <w:t>保障信访工作正常进行，提高信访案件结案率、信访受理满意度，维护国家机关的正常工作秩序，做好稳控工作。</w:t>
            </w:r>
          </w:p>
        </w:tc>
        <w:tc>
          <w:tcPr>
            <w:tcW w:w="1417" w:type="dxa"/>
            <w:noWrap w:val="0"/>
            <w:vAlign w:val="center"/>
          </w:tcPr>
          <w:p w14:paraId="303D4A83">
            <w:pPr>
              <w:spacing w:line="300" w:lineRule="exact"/>
              <w:jc w:val="left"/>
              <w:rPr>
                <w:rFonts w:hint="eastAsia" w:ascii="方正书宋_GBK" w:eastAsia="方正书宋_GBK"/>
              </w:rPr>
            </w:pPr>
            <w:r>
              <w:rPr>
                <w:rFonts w:hint="eastAsia" w:ascii="方正书宋_GBK" w:eastAsia="方正书宋_GBK"/>
              </w:rPr>
              <w:t>信访处理满意度</w:t>
            </w:r>
          </w:p>
        </w:tc>
        <w:tc>
          <w:tcPr>
            <w:tcW w:w="737" w:type="dxa"/>
            <w:noWrap w:val="0"/>
            <w:vAlign w:val="center"/>
          </w:tcPr>
          <w:p w14:paraId="74F5A48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737" w:type="dxa"/>
            <w:noWrap w:val="0"/>
            <w:vAlign w:val="center"/>
          </w:tcPr>
          <w:p w14:paraId="5BF6F2D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737" w:type="dxa"/>
            <w:noWrap w:val="0"/>
            <w:vAlign w:val="center"/>
          </w:tcPr>
          <w:p w14:paraId="16448DA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737" w:type="dxa"/>
            <w:noWrap w:val="0"/>
            <w:vAlign w:val="center"/>
          </w:tcPr>
          <w:p w14:paraId="64EB907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00AC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60CE3162">
            <w:pPr>
              <w:spacing w:line="300" w:lineRule="exact"/>
              <w:jc w:val="left"/>
              <w:rPr>
                <w:rFonts w:hint="eastAsia" w:ascii="方正书宋_GBK" w:eastAsia="方正书宋_GBK"/>
                <w:b/>
              </w:rPr>
            </w:pPr>
          </w:p>
        </w:tc>
        <w:tc>
          <w:tcPr>
            <w:tcW w:w="1276" w:type="dxa"/>
            <w:vMerge w:val="continue"/>
            <w:noWrap w:val="0"/>
            <w:vAlign w:val="center"/>
          </w:tcPr>
          <w:p w14:paraId="7F8AEE64">
            <w:pPr>
              <w:spacing w:line="300" w:lineRule="exact"/>
              <w:jc w:val="left"/>
              <w:rPr>
                <w:rFonts w:ascii="方正书宋_GBK" w:eastAsia="方正书宋_GBK"/>
              </w:rPr>
            </w:pPr>
          </w:p>
        </w:tc>
        <w:tc>
          <w:tcPr>
            <w:tcW w:w="2976" w:type="dxa"/>
            <w:vMerge w:val="continue"/>
            <w:noWrap w:val="0"/>
            <w:vAlign w:val="center"/>
          </w:tcPr>
          <w:p w14:paraId="2D7B5687">
            <w:pPr>
              <w:spacing w:line="300" w:lineRule="exact"/>
              <w:jc w:val="left"/>
              <w:rPr>
                <w:rFonts w:hint="eastAsia" w:ascii="方正书宋_GBK" w:eastAsia="方正书宋_GBK"/>
              </w:rPr>
            </w:pPr>
          </w:p>
        </w:tc>
        <w:tc>
          <w:tcPr>
            <w:tcW w:w="2976" w:type="dxa"/>
            <w:vMerge w:val="continue"/>
            <w:noWrap w:val="0"/>
            <w:vAlign w:val="center"/>
          </w:tcPr>
          <w:p w14:paraId="44301201">
            <w:pPr>
              <w:spacing w:line="300" w:lineRule="exact"/>
              <w:jc w:val="left"/>
              <w:rPr>
                <w:rFonts w:hint="eastAsia" w:ascii="方正书宋_GBK" w:eastAsia="方正书宋_GBK"/>
              </w:rPr>
            </w:pPr>
          </w:p>
        </w:tc>
        <w:tc>
          <w:tcPr>
            <w:tcW w:w="1417" w:type="dxa"/>
            <w:noWrap w:val="0"/>
            <w:vAlign w:val="center"/>
          </w:tcPr>
          <w:p w14:paraId="4FAE795D">
            <w:pPr>
              <w:spacing w:line="300" w:lineRule="exact"/>
              <w:jc w:val="left"/>
              <w:rPr>
                <w:rFonts w:hint="eastAsia" w:ascii="方正书宋_GBK" w:eastAsia="方正书宋_GBK"/>
              </w:rPr>
            </w:pPr>
            <w:r>
              <w:rPr>
                <w:rFonts w:hint="eastAsia" w:ascii="方正书宋_GBK" w:eastAsia="方正书宋_GBK"/>
              </w:rPr>
              <w:t>信访案件结案率</w:t>
            </w:r>
          </w:p>
        </w:tc>
        <w:tc>
          <w:tcPr>
            <w:tcW w:w="737" w:type="dxa"/>
            <w:noWrap w:val="0"/>
            <w:vAlign w:val="center"/>
          </w:tcPr>
          <w:p w14:paraId="61A93F2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737" w:type="dxa"/>
            <w:noWrap w:val="0"/>
            <w:vAlign w:val="center"/>
          </w:tcPr>
          <w:p w14:paraId="0849F9B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737" w:type="dxa"/>
            <w:noWrap w:val="0"/>
            <w:vAlign w:val="center"/>
          </w:tcPr>
          <w:p w14:paraId="56957B3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737" w:type="dxa"/>
            <w:noWrap w:val="0"/>
            <w:vAlign w:val="center"/>
          </w:tcPr>
          <w:p w14:paraId="3057F2D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21B1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restart"/>
            <w:noWrap w:val="0"/>
            <w:vAlign w:val="center"/>
          </w:tcPr>
          <w:p w14:paraId="6E39D752">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、司法救助</w:t>
            </w:r>
          </w:p>
        </w:tc>
        <w:tc>
          <w:tcPr>
            <w:tcW w:w="1276" w:type="dxa"/>
            <w:vMerge w:val="restart"/>
            <w:noWrap w:val="0"/>
            <w:vAlign w:val="center"/>
          </w:tcPr>
          <w:p w14:paraId="5CFE6161">
            <w:pPr>
              <w:spacing w:line="300" w:lineRule="exact"/>
              <w:jc w:val="left"/>
              <w:rPr>
                <w:rFonts w:ascii="方正书宋_GBK" w:eastAsia="方正书宋_GBK"/>
              </w:rPr>
            </w:pPr>
          </w:p>
        </w:tc>
        <w:tc>
          <w:tcPr>
            <w:tcW w:w="2976" w:type="dxa"/>
            <w:vMerge w:val="restart"/>
            <w:noWrap w:val="0"/>
            <w:vAlign w:val="center"/>
          </w:tcPr>
          <w:p w14:paraId="71D5A262">
            <w:pPr>
              <w:spacing w:line="300" w:lineRule="exact"/>
              <w:jc w:val="left"/>
              <w:rPr>
                <w:rFonts w:hint="eastAsia" w:ascii="方正书宋_GBK" w:eastAsia="方正书宋_GBK"/>
              </w:rPr>
            </w:pPr>
            <w:r>
              <w:rPr>
                <w:rFonts w:hint="eastAsia" w:ascii="方正书宋_GBK" w:eastAsia="方正书宋_GBK"/>
              </w:rPr>
              <w:t>对受到侵害但无法获得有效赔偿的当事人给予资助。</w:t>
            </w:r>
          </w:p>
        </w:tc>
        <w:tc>
          <w:tcPr>
            <w:tcW w:w="2976" w:type="dxa"/>
            <w:vMerge w:val="restart"/>
            <w:noWrap w:val="0"/>
            <w:vAlign w:val="center"/>
          </w:tcPr>
          <w:p w14:paraId="6243138B">
            <w:pPr>
              <w:spacing w:line="300" w:lineRule="exact"/>
              <w:jc w:val="left"/>
              <w:rPr>
                <w:rFonts w:hint="eastAsia" w:ascii="方正书宋_GBK" w:eastAsia="方正书宋_GBK"/>
              </w:rPr>
            </w:pPr>
            <w:r>
              <w:rPr>
                <w:rFonts w:hint="eastAsia" w:ascii="方正书宋_GBK" w:eastAsia="方正书宋_GBK"/>
              </w:rPr>
              <w:t>不断完善司法救助，切实保护民生，让人民群众感受到司法以人为本，享受到司法人文关怀。</w:t>
            </w:r>
          </w:p>
        </w:tc>
        <w:tc>
          <w:tcPr>
            <w:tcW w:w="1417" w:type="dxa"/>
            <w:noWrap w:val="0"/>
            <w:vAlign w:val="center"/>
          </w:tcPr>
          <w:p w14:paraId="62AC7E70">
            <w:pPr>
              <w:spacing w:line="300" w:lineRule="exact"/>
              <w:jc w:val="left"/>
              <w:rPr>
                <w:rFonts w:hint="eastAsia" w:ascii="方正书宋_GBK" w:eastAsia="方正书宋_GBK"/>
              </w:rPr>
            </w:pPr>
            <w:r>
              <w:rPr>
                <w:rFonts w:hint="eastAsia" w:ascii="方正书宋_GBK" w:eastAsia="方正书宋_GBK"/>
              </w:rPr>
              <w:t>化解矛盾率</w:t>
            </w:r>
          </w:p>
        </w:tc>
        <w:tc>
          <w:tcPr>
            <w:tcW w:w="737" w:type="dxa"/>
            <w:noWrap w:val="0"/>
            <w:vAlign w:val="center"/>
          </w:tcPr>
          <w:p w14:paraId="06CBEFD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w:t>
            </w:r>
          </w:p>
        </w:tc>
        <w:tc>
          <w:tcPr>
            <w:tcW w:w="737" w:type="dxa"/>
            <w:noWrap w:val="0"/>
            <w:vAlign w:val="center"/>
          </w:tcPr>
          <w:p w14:paraId="76453F7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w:t>
            </w:r>
          </w:p>
        </w:tc>
        <w:tc>
          <w:tcPr>
            <w:tcW w:w="737" w:type="dxa"/>
            <w:noWrap w:val="0"/>
            <w:vAlign w:val="center"/>
          </w:tcPr>
          <w:p w14:paraId="577A886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w:t>
            </w:r>
          </w:p>
        </w:tc>
        <w:tc>
          <w:tcPr>
            <w:tcW w:w="737" w:type="dxa"/>
            <w:noWrap w:val="0"/>
            <w:vAlign w:val="center"/>
          </w:tcPr>
          <w:p w14:paraId="36DACE89">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6C8A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6E9ECA4F">
            <w:pPr>
              <w:spacing w:line="300" w:lineRule="exact"/>
              <w:jc w:val="left"/>
              <w:rPr>
                <w:rFonts w:hint="eastAsia" w:ascii="方正书宋_GBK" w:eastAsia="方正书宋_GBK"/>
                <w:b/>
              </w:rPr>
            </w:pPr>
          </w:p>
        </w:tc>
        <w:tc>
          <w:tcPr>
            <w:tcW w:w="1276" w:type="dxa"/>
            <w:vMerge w:val="continue"/>
            <w:noWrap w:val="0"/>
            <w:vAlign w:val="center"/>
          </w:tcPr>
          <w:p w14:paraId="4AB45F06">
            <w:pPr>
              <w:spacing w:line="300" w:lineRule="exact"/>
              <w:jc w:val="left"/>
              <w:rPr>
                <w:rFonts w:ascii="方正书宋_GBK" w:eastAsia="方正书宋_GBK"/>
              </w:rPr>
            </w:pPr>
          </w:p>
        </w:tc>
        <w:tc>
          <w:tcPr>
            <w:tcW w:w="2976" w:type="dxa"/>
            <w:vMerge w:val="continue"/>
            <w:noWrap w:val="0"/>
            <w:vAlign w:val="center"/>
          </w:tcPr>
          <w:p w14:paraId="4AD77EDD">
            <w:pPr>
              <w:spacing w:line="300" w:lineRule="exact"/>
              <w:jc w:val="left"/>
              <w:rPr>
                <w:rFonts w:hint="eastAsia" w:ascii="方正书宋_GBK" w:eastAsia="方正书宋_GBK"/>
              </w:rPr>
            </w:pPr>
          </w:p>
        </w:tc>
        <w:tc>
          <w:tcPr>
            <w:tcW w:w="2976" w:type="dxa"/>
            <w:vMerge w:val="continue"/>
            <w:noWrap w:val="0"/>
            <w:vAlign w:val="center"/>
          </w:tcPr>
          <w:p w14:paraId="5672A4B6">
            <w:pPr>
              <w:spacing w:line="300" w:lineRule="exact"/>
              <w:jc w:val="left"/>
              <w:rPr>
                <w:rFonts w:hint="eastAsia" w:ascii="方正书宋_GBK" w:eastAsia="方正书宋_GBK"/>
              </w:rPr>
            </w:pPr>
          </w:p>
        </w:tc>
        <w:tc>
          <w:tcPr>
            <w:tcW w:w="1417" w:type="dxa"/>
            <w:noWrap w:val="0"/>
            <w:vAlign w:val="center"/>
          </w:tcPr>
          <w:p w14:paraId="541FE56E">
            <w:pPr>
              <w:spacing w:line="300" w:lineRule="exact"/>
              <w:jc w:val="left"/>
              <w:rPr>
                <w:rFonts w:hint="eastAsia" w:ascii="方正书宋_GBK" w:eastAsia="方正书宋_GBK"/>
              </w:rPr>
            </w:pPr>
            <w:r>
              <w:rPr>
                <w:rFonts w:hint="eastAsia" w:ascii="方正书宋_GBK" w:eastAsia="方正书宋_GBK"/>
              </w:rPr>
              <w:t>结案率</w:t>
            </w:r>
          </w:p>
        </w:tc>
        <w:tc>
          <w:tcPr>
            <w:tcW w:w="737" w:type="dxa"/>
            <w:noWrap w:val="0"/>
            <w:vAlign w:val="center"/>
          </w:tcPr>
          <w:p w14:paraId="012A5B3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1C335E4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14:paraId="4BF13AD8">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c>
          <w:tcPr>
            <w:tcW w:w="737" w:type="dxa"/>
            <w:noWrap w:val="0"/>
            <w:vAlign w:val="center"/>
          </w:tcPr>
          <w:p w14:paraId="3947564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3E32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4F9EED6A">
            <w:pPr>
              <w:spacing w:line="300" w:lineRule="exact"/>
              <w:jc w:val="left"/>
              <w:rPr>
                <w:rFonts w:hint="eastAsia" w:ascii="方正书宋_GBK" w:eastAsia="方正书宋_GBK"/>
                <w:b/>
              </w:rPr>
            </w:pPr>
          </w:p>
        </w:tc>
        <w:tc>
          <w:tcPr>
            <w:tcW w:w="1276" w:type="dxa"/>
            <w:vMerge w:val="continue"/>
            <w:noWrap w:val="0"/>
            <w:vAlign w:val="center"/>
          </w:tcPr>
          <w:p w14:paraId="5CCCC210">
            <w:pPr>
              <w:spacing w:line="300" w:lineRule="exact"/>
              <w:jc w:val="left"/>
              <w:rPr>
                <w:rFonts w:ascii="方正书宋_GBK" w:eastAsia="方正书宋_GBK"/>
              </w:rPr>
            </w:pPr>
          </w:p>
        </w:tc>
        <w:tc>
          <w:tcPr>
            <w:tcW w:w="2976" w:type="dxa"/>
            <w:vMerge w:val="continue"/>
            <w:noWrap w:val="0"/>
            <w:vAlign w:val="center"/>
          </w:tcPr>
          <w:p w14:paraId="60DB41D8">
            <w:pPr>
              <w:spacing w:line="300" w:lineRule="exact"/>
              <w:jc w:val="left"/>
              <w:rPr>
                <w:rFonts w:hint="eastAsia" w:ascii="方正书宋_GBK" w:eastAsia="方正书宋_GBK"/>
              </w:rPr>
            </w:pPr>
          </w:p>
        </w:tc>
        <w:tc>
          <w:tcPr>
            <w:tcW w:w="2976" w:type="dxa"/>
            <w:vMerge w:val="continue"/>
            <w:noWrap w:val="0"/>
            <w:vAlign w:val="center"/>
          </w:tcPr>
          <w:p w14:paraId="55492E1F">
            <w:pPr>
              <w:spacing w:line="300" w:lineRule="exact"/>
              <w:jc w:val="left"/>
              <w:rPr>
                <w:rFonts w:hint="eastAsia" w:ascii="方正书宋_GBK" w:eastAsia="方正书宋_GBK"/>
              </w:rPr>
            </w:pPr>
          </w:p>
        </w:tc>
        <w:tc>
          <w:tcPr>
            <w:tcW w:w="1417" w:type="dxa"/>
            <w:noWrap w:val="0"/>
            <w:vAlign w:val="center"/>
          </w:tcPr>
          <w:p w14:paraId="2E020AE1">
            <w:pPr>
              <w:spacing w:line="300" w:lineRule="exact"/>
              <w:jc w:val="left"/>
              <w:rPr>
                <w:rFonts w:hint="eastAsia" w:ascii="方正书宋_GBK" w:eastAsia="方正书宋_GBK"/>
              </w:rPr>
            </w:pPr>
            <w:r>
              <w:rPr>
                <w:rFonts w:hint="eastAsia" w:ascii="方正书宋_GBK" w:eastAsia="方正书宋_GBK"/>
              </w:rPr>
              <w:t>司法救助资金发放到位率</w:t>
            </w:r>
          </w:p>
        </w:tc>
        <w:tc>
          <w:tcPr>
            <w:tcW w:w="737" w:type="dxa"/>
            <w:noWrap w:val="0"/>
            <w:vAlign w:val="center"/>
          </w:tcPr>
          <w:p w14:paraId="2B097AB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14:paraId="5A737E6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6DE973DB">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14:paraId="3DDD84BD">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60%</w:t>
            </w:r>
          </w:p>
        </w:tc>
      </w:tr>
      <w:tr w14:paraId="7EB3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restart"/>
            <w:noWrap w:val="0"/>
            <w:vAlign w:val="center"/>
          </w:tcPr>
          <w:p w14:paraId="5423AF6C">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、国家赔偿</w:t>
            </w:r>
          </w:p>
        </w:tc>
        <w:tc>
          <w:tcPr>
            <w:tcW w:w="1276" w:type="dxa"/>
            <w:vMerge w:val="restart"/>
            <w:noWrap w:val="0"/>
            <w:vAlign w:val="center"/>
          </w:tcPr>
          <w:p w14:paraId="3707B6DA">
            <w:pPr>
              <w:spacing w:line="300" w:lineRule="exact"/>
              <w:jc w:val="left"/>
              <w:rPr>
                <w:rFonts w:ascii="方正书宋_GBK" w:eastAsia="方正书宋_GBK"/>
              </w:rPr>
            </w:pPr>
          </w:p>
        </w:tc>
        <w:tc>
          <w:tcPr>
            <w:tcW w:w="2976" w:type="dxa"/>
            <w:vMerge w:val="restart"/>
            <w:noWrap w:val="0"/>
            <w:vAlign w:val="center"/>
          </w:tcPr>
          <w:p w14:paraId="1DE6140A">
            <w:pPr>
              <w:spacing w:line="300" w:lineRule="exact"/>
              <w:jc w:val="left"/>
              <w:rPr>
                <w:rFonts w:hint="eastAsia" w:ascii="方正书宋_GBK" w:eastAsia="方正书宋_GBK"/>
              </w:rPr>
            </w:pPr>
            <w:r>
              <w:rPr>
                <w:rFonts w:hint="eastAsia" w:ascii="方正书宋_GBK" w:eastAsia="方正书宋_GBK"/>
              </w:rPr>
              <w:t>依法办理国家赔偿案件，执行赔偿委员会决定事项，审查处理赔偿告诉申诉案件。主要工作包括调查、取证，审理。</w:t>
            </w:r>
          </w:p>
        </w:tc>
        <w:tc>
          <w:tcPr>
            <w:tcW w:w="2976" w:type="dxa"/>
            <w:vMerge w:val="restart"/>
            <w:noWrap w:val="0"/>
            <w:vAlign w:val="center"/>
          </w:tcPr>
          <w:p w14:paraId="2AD25084">
            <w:pPr>
              <w:spacing w:line="300" w:lineRule="exact"/>
              <w:jc w:val="left"/>
              <w:rPr>
                <w:rFonts w:hint="eastAsia" w:ascii="方正书宋_GBK" w:eastAsia="方正书宋_GBK"/>
              </w:rPr>
            </w:pPr>
            <w:r>
              <w:rPr>
                <w:rFonts w:hint="eastAsia" w:ascii="方正书宋_GBK" w:eastAsia="方正书宋_GBK"/>
              </w:rPr>
              <w:t>保护被侵害人的合法权益，促进行政机关、司法机关依法履行职责。</w:t>
            </w:r>
          </w:p>
        </w:tc>
        <w:tc>
          <w:tcPr>
            <w:tcW w:w="1417" w:type="dxa"/>
            <w:noWrap w:val="0"/>
            <w:vAlign w:val="center"/>
          </w:tcPr>
          <w:p w14:paraId="00F6E563">
            <w:pPr>
              <w:spacing w:line="300" w:lineRule="exact"/>
              <w:jc w:val="left"/>
              <w:rPr>
                <w:rFonts w:hint="eastAsia" w:ascii="方正书宋_GBK" w:eastAsia="方正书宋_GBK"/>
              </w:rPr>
            </w:pPr>
            <w:r>
              <w:rPr>
                <w:rFonts w:hint="eastAsia" w:ascii="方正书宋_GBK" w:eastAsia="方正书宋_GBK"/>
              </w:rPr>
              <w:t>结案时间提前率</w:t>
            </w:r>
          </w:p>
        </w:tc>
        <w:tc>
          <w:tcPr>
            <w:tcW w:w="737" w:type="dxa"/>
            <w:noWrap w:val="0"/>
            <w:vAlign w:val="center"/>
          </w:tcPr>
          <w:p w14:paraId="5BA3F19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15%</w:t>
            </w:r>
          </w:p>
        </w:tc>
        <w:tc>
          <w:tcPr>
            <w:tcW w:w="737" w:type="dxa"/>
            <w:noWrap w:val="0"/>
            <w:vAlign w:val="center"/>
          </w:tcPr>
          <w:p w14:paraId="126B97D7">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737" w:type="dxa"/>
            <w:noWrap w:val="0"/>
            <w:vAlign w:val="center"/>
          </w:tcPr>
          <w:p w14:paraId="480E73D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5%</w:t>
            </w:r>
          </w:p>
        </w:tc>
        <w:tc>
          <w:tcPr>
            <w:tcW w:w="737" w:type="dxa"/>
            <w:noWrap w:val="0"/>
            <w:vAlign w:val="center"/>
          </w:tcPr>
          <w:p w14:paraId="42BE10BA">
            <w:pPr>
              <w:spacing w:line="300" w:lineRule="exact"/>
              <w:jc w:val="center"/>
              <w:rPr>
                <w:rFonts w:hint="eastAsia" w:ascii="方正书宋_GBK" w:eastAsia="方正书宋_GBK"/>
              </w:rPr>
            </w:pPr>
            <w:r>
              <w:rPr>
                <w:rFonts w:ascii="方正书宋_GBK" w:eastAsia="方正书宋_GBK"/>
              </w:rPr>
              <w:t>5%</w:t>
            </w:r>
            <w:r>
              <w:rPr>
                <w:rFonts w:hint="eastAsia" w:ascii="方正书宋_GBK" w:eastAsia="方正书宋_GBK"/>
              </w:rPr>
              <w:t>以下</w:t>
            </w:r>
          </w:p>
        </w:tc>
      </w:tr>
      <w:tr w14:paraId="3340E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4765CCD2">
            <w:pPr>
              <w:spacing w:line="300" w:lineRule="exact"/>
              <w:jc w:val="left"/>
              <w:rPr>
                <w:rFonts w:hint="eastAsia" w:ascii="方正书宋_GBK" w:eastAsia="方正书宋_GBK"/>
                <w:b/>
              </w:rPr>
            </w:pPr>
          </w:p>
        </w:tc>
        <w:tc>
          <w:tcPr>
            <w:tcW w:w="1276" w:type="dxa"/>
            <w:vMerge w:val="continue"/>
            <w:noWrap w:val="0"/>
            <w:vAlign w:val="center"/>
          </w:tcPr>
          <w:p w14:paraId="7E5E6616">
            <w:pPr>
              <w:spacing w:line="300" w:lineRule="exact"/>
              <w:jc w:val="left"/>
              <w:rPr>
                <w:rFonts w:ascii="方正书宋_GBK" w:eastAsia="方正书宋_GBK"/>
              </w:rPr>
            </w:pPr>
          </w:p>
        </w:tc>
        <w:tc>
          <w:tcPr>
            <w:tcW w:w="2976" w:type="dxa"/>
            <w:vMerge w:val="continue"/>
            <w:noWrap w:val="0"/>
            <w:vAlign w:val="center"/>
          </w:tcPr>
          <w:p w14:paraId="66A04F7A">
            <w:pPr>
              <w:spacing w:line="300" w:lineRule="exact"/>
              <w:jc w:val="left"/>
              <w:rPr>
                <w:rFonts w:hint="eastAsia" w:ascii="方正书宋_GBK" w:eastAsia="方正书宋_GBK"/>
              </w:rPr>
            </w:pPr>
          </w:p>
        </w:tc>
        <w:tc>
          <w:tcPr>
            <w:tcW w:w="2976" w:type="dxa"/>
            <w:vMerge w:val="continue"/>
            <w:noWrap w:val="0"/>
            <w:vAlign w:val="center"/>
          </w:tcPr>
          <w:p w14:paraId="25FF8DCA">
            <w:pPr>
              <w:spacing w:line="300" w:lineRule="exact"/>
              <w:jc w:val="left"/>
              <w:rPr>
                <w:rFonts w:hint="eastAsia" w:ascii="方正书宋_GBK" w:eastAsia="方正书宋_GBK"/>
              </w:rPr>
            </w:pPr>
          </w:p>
        </w:tc>
        <w:tc>
          <w:tcPr>
            <w:tcW w:w="1417" w:type="dxa"/>
            <w:noWrap w:val="0"/>
            <w:vAlign w:val="center"/>
          </w:tcPr>
          <w:p w14:paraId="6E801F69">
            <w:pPr>
              <w:spacing w:line="300" w:lineRule="exact"/>
              <w:jc w:val="left"/>
              <w:rPr>
                <w:rFonts w:hint="eastAsia" w:ascii="方正书宋_GBK" w:eastAsia="方正书宋_GBK"/>
              </w:rPr>
            </w:pPr>
            <w:r>
              <w:rPr>
                <w:rFonts w:hint="eastAsia" w:ascii="方正书宋_GBK" w:eastAsia="方正书宋_GBK"/>
              </w:rPr>
              <w:t>国家赔偿案件结案率</w:t>
            </w:r>
          </w:p>
        </w:tc>
        <w:tc>
          <w:tcPr>
            <w:tcW w:w="737" w:type="dxa"/>
            <w:noWrap w:val="0"/>
            <w:vAlign w:val="center"/>
          </w:tcPr>
          <w:p w14:paraId="1DFAF3B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5CF4308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14:paraId="1206723F">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14:paraId="11AC7685">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14:paraId="5D11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0F5DF1AC">
            <w:pPr>
              <w:spacing w:line="300" w:lineRule="exact"/>
              <w:jc w:val="left"/>
              <w:rPr>
                <w:rFonts w:hint="eastAsia" w:ascii="方正书宋_GBK" w:eastAsia="方正书宋_GBK"/>
                <w:b/>
              </w:rPr>
            </w:pPr>
          </w:p>
        </w:tc>
        <w:tc>
          <w:tcPr>
            <w:tcW w:w="1276" w:type="dxa"/>
            <w:vMerge w:val="continue"/>
            <w:noWrap w:val="0"/>
            <w:vAlign w:val="center"/>
          </w:tcPr>
          <w:p w14:paraId="1589F97F">
            <w:pPr>
              <w:spacing w:line="300" w:lineRule="exact"/>
              <w:jc w:val="left"/>
              <w:rPr>
                <w:rFonts w:ascii="方正书宋_GBK" w:eastAsia="方正书宋_GBK"/>
              </w:rPr>
            </w:pPr>
          </w:p>
        </w:tc>
        <w:tc>
          <w:tcPr>
            <w:tcW w:w="2976" w:type="dxa"/>
            <w:vMerge w:val="continue"/>
            <w:noWrap w:val="0"/>
            <w:vAlign w:val="center"/>
          </w:tcPr>
          <w:p w14:paraId="3D25381A">
            <w:pPr>
              <w:spacing w:line="300" w:lineRule="exact"/>
              <w:jc w:val="left"/>
              <w:rPr>
                <w:rFonts w:hint="eastAsia" w:ascii="方正书宋_GBK" w:eastAsia="方正书宋_GBK"/>
              </w:rPr>
            </w:pPr>
          </w:p>
        </w:tc>
        <w:tc>
          <w:tcPr>
            <w:tcW w:w="2976" w:type="dxa"/>
            <w:vMerge w:val="continue"/>
            <w:noWrap w:val="0"/>
            <w:vAlign w:val="center"/>
          </w:tcPr>
          <w:p w14:paraId="1F5A8B6A">
            <w:pPr>
              <w:spacing w:line="300" w:lineRule="exact"/>
              <w:jc w:val="left"/>
              <w:rPr>
                <w:rFonts w:hint="eastAsia" w:ascii="方正书宋_GBK" w:eastAsia="方正书宋_GBK"/>
              </w:rPr>
            </w:pPr>
          </w:p>
        </w:tc>
        <w:tc>
          <w:tcPr>
            <w:tcW w:w="1417" w:type="dxa"/>
            <w:noWrap w:val="0"/>
            <w:vAlign w:val="center"/>
          </w:tcPr>
          <w:p w14:paraId="32872B86">
            <w:pPr>
              <w:spacing w:line="300" w:lineRule="exact"/>
              <w:jc w:val="left"/>
              <w:rPr>
                <w:rFonts w:hint="eastAsia" w:ascii="方正书宋_GBK" w:eastAsia="方正书宋_GBK"/>
              </w:rPr>
            </w:pPr>
            <w:r>
              <w:rPr>
                <w:rFonts w:hint="eastAsia" w:ascii="方正书宋_GBK" w:eastAsia="方正书宋_GBK"/>
              </w:rPr>
              <w:t>国家赔偿案件办理工作完成率</w:t>
            </w:r>
          </w:p>
        </w:tc>
        <w:tc>
          <w:tcPr>
            <w:tcW w:w="737" w:type="dxa"/>
            <w:noWrap w:val="0"/>
            <w:vAlign w:val="center"/>
          </w:tcPr>
          <w:p w14:paraId="68C962DA">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70F9BC7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737" w:type="dxa"/>
            <w:noWrap w:val="0"/>
            <w:vAlign w:val="center"/>
          </w:tcPr>
          <w:p w14:paraId="193F73C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noWrap w:val="0"/>
            <w:vAlign w:val="center"/>
          </w:tcPr>
          <w:p w14:paraId="53C0387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r>
      <w:tr w14:paraId="4B7B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noWrap w:val="0"/>
            <w:vAlign w:val="center"/>
          </w:tcPr>
          <w:p w14:paraId="1843D901">
            <w:pPr>
              <w:spacing w:line="300" w:lineRule="exact"/>
              <w:jc w:val="left"/>
              <w:rPr>
                <w:rFonts w:hint="eastAsia" w:ascii="方正书宋_GBK" w:eastAsia="方正书宋_GBK"/>
                <w:b/>
              </w:rPr>
            </w:pPr>
            <w:r>
              <w:rPr>
                <w:rFonts w:hint="eastAsia" w:ascii="方正书宋_GBK" w:eastAsia="方正书宋_GBK"/>
                <w:b/>
              </w:rPr>
              <w:t>三、法院事务管理</w:t>
            </w:r>
          </w:p>
        </w:tc>
        <w:tc>
          <w:tcPr>
            <w:tcW w:w="1276" w:type="dxa"/>
            <w:noWrap w:val="0"/>
            <w:vAlign w:val="center"/>
          </w:tcPr>
          <w:p w14:paraId="34B76D10">
            <w:pPr>
              <w:spacing w:line="300" w:lineRule="exact"/>
              <w:jc w:val="left"/>
              <w:rPr>
                <w:rFonts w:ascii="方正书宋_GBK" w:eastAsia="方正书宋_GBK"/>
              </w:rPr>
            </w:pPr>
          </w:p>
        </w:tc>
        <w:tc>
          <w:tcPr>
            <w:tcW w:w="2976" w:type="dxa"/>
            <w:noWrap w:val="0"/>
            <w:vAlign w:val="center"/>
          </w:tcPr>
          <w:p w14:paraId="5723B24A">
            <w:pPr>
              <w:spacing w:line="300" w:lineRule="exact"/>
              <w:jc w:val="left"/>
              <w:rPr>
                <w:rFonts w:hint="eastAsia" w:ascii="方正书宋_GBK" w:eastAsia="方正书宋_GBK"/>
              </w:rPr>
            </w:pPr>
            <w:r>
              <w:rPr>
                <w:rFonts w:hint="eastAsia" w:ascii="方正书宋_GBK" w:eastAsia="方正书宋_GBK"/>
              </w:rPr>
              <w:t>系统综合业务管理和综合事务管理。</w:t>
            </w:r>
          </w:p>
        </w:tc>
        <w:tc>
          <w:tcPr>
            <w:tcW w:w="2976" w:type="dxa"/>
            <w:noWrap w:val="0"/>
            <w:vAlign w:val="center"/>
          </w:tcPr>
          <w:p w14:paraId="442E55F1">
            <w:pPr>
              <w:spacing w:line="300" w:lineRule="exact"/>
              <w:jc w:val="left"/>
              <w:rPr>
                <w:rFonts w:hint="eastAsia" w:ascii="方正书宋_GBK" w:eastAsia="方正书宋_GBK"/>
              </w:rPr>
            </w:pPr>
            <w:r>
              <w:rPr>
                <w:rFonts w:hint="eastAsia" w:ascii="方正书宋_GBK" w:eastAsia="方正书宋_GBK"/>
              </w:rPr>
              <w:t>提高队伍素质和执法能力，高质高效完成各项工作。</w:t>
            </w:r>
          </w:p>
        </w:tc>
        <w:tc>
          <w:tcPr>
            <w:tcW w:w="1417" w:type="dxa"/>
            <w:noWrap w:val="0"/>
            <w:vAlign w:val="center"/>
          </w:tcPr>
          <w:p w14:paraId="64293B64">
            <w:pPr>
              <w:spacing w:line="300" w:lineRule="exact"/>
              <w:jc w:val="left"/>
              <w:rPr>
                <w:rFonts w:hint="eastAsia" w:ascii="方正书宋_GBK" w:eastAsia="方正书宋_GBK"/>
              </w:rPr>
            </w:pPr>
          </w:p>
        </w:tc>
        <w:tc>
          <w:tcPr>
            <w:tcW w:w="737" w:type="dxa"/>
            <w:noWrap w:val="0"/>
            <w:vAlign w:val="center"/>
          </w:tcPr>
          <w:p w14:paraId="77EDBCF3">
            <w:pPr>
              <w:spacing w:line="300" w:lineRule="exact"/>
              <w:jc w:val="center"/>
              <w:rPr>
                <w:rFonts w:hint="eastAsia" w:ascii="方正书宋_GBK" w:eastAsia="方正书宋_GBK"/>
              </w:rPr>
            </w:pPr>
          </w:p>
        </w:tc>
        <w:tc>
          <w:tcPr>
            <w:tcW w:w="737" w:type="dxa"/>
            <w:noWrap w:val="0"/>
            <w:vAlign w:val="center"/>
          </w:tcPr>
          <w:p w14:paraId="3FD014EC">
            <w:pPr>
              <w:spacing w:line="300" w:lineRule="exact"/>
              <w:jc w:val="center"/>
              <w:rPr>
                <w:rFonts w:hint="eastAsia" w:ascii="方正书宋_GBK" w:eastAsia="方正书宋_GBK"/>
              </w:rPr>
            </w:pPr>
          </w:p>
        </w:tc>
        <w:tc>
          <w:tcPr>
            <w:tcW w:w="737" w:type="dxa"/>
            <w:noWrap w:val="0"/>
            <w:vAlign w:val="center"/>
          </w:tcPr>
          <w:p w14:paraId="0C9EC695">
            <w:pPr>
              <w:spacing w:line="300" w:lineRule="exact"/>
              <w:jc w:val="center"/>
              <w:rPr>
                <w:rFonts w:hint="eastAsia" w:ascii="方正书宋_GBK" w:eastAsia="方正书宋_GBK"/>
              </w:rPr>
            </w:pPr>
          </w:p>
        </w:tc>
        <w:tc>
          <w:tcPr>
            <w:tcW w:w="737" w:type="dxa"/>
            <w:noWrap w:val="0"/>
            <w:vAlign w:val="center"/>
          </w:tcPr>
          <w:p w14:paraId="5E3CB458">
            <w:pPr>
              <w:spacing w:line="300" w:lineRule="exact"/>
              <w:jc w:val="center"/>
              <w:rPr>
                <w:rFonts w:hint="eastAsia" w:ascii="方正书宋_GBK" w:eastAsia="方正书宋_GBK"/>
              </w:rPr>
            </w:pPr>
          </w:p>
        </w:tc>
      </w:tr>
      <w:tr w14:paraId="0F8B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noWrap w:val="0"/>
            <w:vAlign w:val="center"/>
          </w:tcPr>
          <w:p w14:paraId="40837E72">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noWrap w:val="0"/>
            <w:vAlign w:val="center"/>
          </w:tcPr>
          <w:p w14:paraId="7F1EB300">
            <w:pPr>
              <w:spacing w:line="300" w:lineRule="exact"/>
              <w:jc w:val="left"/>
              <w:rPr>
                <w:rFonts w:ascii="方正书宋_GBK" w:eastAsia="方正书宋_GBK"/>
              </w:rPr>
            </w:pPr>
          </w:p>
        </w:tc>
        <w:tc>
          <w:tcPr>
            <w:tcW w:w="2976" w:type="dxa"/>
            <w:noWrap w:val="0"/>
            <w:vAlign w:val="center"/>
          </w:tcPr>
          <w:p w14:paraId="45676AB2">
            <w:pPr>
              <w:spacing w:line="300" w:lineRule="exact"/>
              <w:jc w:val="left"/>
              <w:rPr>
                <w:rFonts w:hint="eastAsia" w:ascii="方正书宋_GBK" w:eastAsia="方正书宋_GBK"/>
              </w:rPr>
            </w:pPr>
            <w:r>
              <w:rPr>
                <w:rFonts w:hint="eastAsia" w:ascii="方正书宋_GBK" w:eastAsia="方正书宋_GBK"/>
              </w:rPr>
              <w:t>加强法院系统队伍建设，加强法院基础设施及信息化建设，加强培训及法院文化建设；总结人民法院审判业务工作经验，建立绩效考核制度，加强对外宣传以及舆论引导，树立法院良好形象。</w:t>
            </w:r>
          </w:p>
        </w:tc>
        <w:tc>
          <w:tcPr>
            <w:tcW w:w="2976" w:type="dxa"/>
            <w:noWrap w:val="0"/>
            <w:vAlign w:val="center"/>
          </w:tcPr>
          <w:p w14:paraId="214CB4F7">
            <w:pPr>
              <w:spacing w:line="300" w:lineRule="exact"/>
              <w:jc w:val="left"/>
              <w:rPr>
                <w:rFonts w:hint="eastAsia" w:ascii="方正书宋_GBK" w:eastAsia="方正书宋_GBK"/>
              </w:rPr>
            </w:pPr>
            <w:r>
              <w:rPr>
                <w:rFonts w:hint="eastAsia" w:ascii="方正书宋_GBK" w:eastAsia="方正书宋_GBK"/>
              </w:rPr>
              <w:t>不断提高队伍素质和执法能力，推进信息公开，提升审判质效，改进司法工作作风，树立法院良好形象。</w:t>
            </w:r>
          </w:p>
        </w:tc>
        <w:tc>
          <w:tcPr>
            <w:tcW w:w="1417" w:type="dxa"/>
            <w:noWrap w:val="0"/>
            <w:vAlign w:val="center"/>
          </w:tcPr>
          <w:p w14:paraId="500FDBD2">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noWrap w:val="0"/>
            <w:vAlign w:val="center"/>
          </w:tcPr>
          <w:p w14:paraId="7BAFC968">
            <w:pPr>
              <w:spacing w:line="300" w:lineRule="exact"/>
              <w:jc w:val="center"/>
              <w:rPr>
                <w:rFonts w:hint="eastAsia" w:ascii="方正书宋_GBK" w:eastAsia="方正书宋_GBK"/>
              </w:rPr>
            </w:pPr>
            <w:r>
              <w:rPr>
                <w:rFonts w:ascii="方正书宋_GBK" w:eastAsia="方正书宋_GBK"/>
              </w:rPr>
              <w:t>100%</w:t>
            </w:r>
          </w:p>
        </w:tc>
        <w:tc>
          <w:tcPr>
            <w:tcW w:w="737" w:type="dxa"/>
            <w:noWrap w:val="0"/>
            <w:vAlign w:val="center"/>
          </w:tcPr>
          <w:p w14:paraId="1186EF93">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14:paraId="3BD5C3A4">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41EF5D45">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14:paraId="66CD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restart"/>
            <w:noWrap w:val="0"/>
            <w:vAlign w:val="center"/>
          </w:tcPr>
          <w:p w14:paraId="6864BA8C">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Merge w:val="restart"/>
            <w:noWrap w:val="0"/>
            <w:vAlign w:val="center"/>
          </w:tcPr>
          <w:p w14:paraId="5B2F9CD3">
            <w:pPr>
              <w:spacing w:line="300" w:lineRule="exact"/>
              <w:jc w:val="left"/>
              <w:rPr>
                <w:rFonts w:ascii="方正书宋_GBK" w:eastAsia="方正书宋_GBK"/>
              </w:rPr>
            </w:pPr>
          </w:p>
        </w:tc>
        <w:tc>
          <w:tcPr>
            <w:tcW w:w="2976" w:type="dxa"/>
            <w:vMerge w:val="restart"/>
            <w:noWrap w:val="0"/>
            <w:vAlign w:val="center"/>
          </w:tcPr>
          <w:p w14:paraId="24B47D94">
            <w:pPr>
              <w:spacing w:line="300" w:lineRule="exact"/>
              <w:jc w:val="left"/>
              <w:rPr>
                <w:rFonts w:hint="eastAsia" w:ascii="方正书宋_GBK" w:eastAsia="方正书宋_GBK"/>
              </w:rPr>
            </w:pPr>
            <w:r>
              <w:rPr>
                <w:rFonts w:hint="eastAsia" w:ascii="方正书宋_GBK" w:eastAsia="方正书宋_GBK"/>
              </w:rPr>
              <w:t>领导全区人民法庭的监察工作；管理全区法庭司法行政工作；承办其它应由区级人民法院负责的工作。</w:t>
            </w:r>
          </w:p>
        </w:tc>
        <w:tc>
          <w:tcPr>
            <w:tcW w:w="2976" w:type="dxa"/>
            <w:vMerge w:val="restart"/>
            <w:noWrap w:val="0"/>
            <w:vAlign w:val="center"/>
          </w:tcPr>
          <w:p w14:paraId="7184924D">
            <w:pPr>
              <w:spacing w:line="300" w:lineRule="exact"/>
              <w:jc w:val="left"/>
              <w:rPr>
                <w:rFonts w:hint="eastAsia" w:ascii="方正书宋_GBK" w:eastAsia="方正书宋_GBK"/>
              </w:rPr>
            </w:pPr>
            <w:r>
              <w:rPr>
                <w:rFonts w:hint="eastAsia" w:ascii="方正书宋_GBK" w:eastAsia="方正书宋_GBK"/>
              </w:rPr>
              <w:t>高质高效完成年度各项工作。</w:t>
            </w:r>
          </w:p>
        </w:tc>
        <w:tc>
          <w:tcPr>
            <w:tcW w:w="1417" w:type="dxa"/>
            <w:noWrap w:val="0"/>
            <w:vAlign w:val="center"/>
          </w:tcPr>
          <w:p w14:paraId="1C35A2C6">
            <w:pPr>
              <w:spacing w:line="300" w:lineRule="exact"/>
              <w:jc w:val="left"/>
              <w:rPr>
                <w:rFonts w:hint="eastAsia" w:ascii="方正书宋_GBK" w:eastAsia="方正书宋_GBK"/>
              </w:rPr>
            </w:pPr>
            <w:r>
              <w:rPr>
                <w:rFonts w:hint="eastAsia" w:ascii="方正书宋_GBK" w:eastAsia="方正书宋_GBK"/>
              </w:rPr>
              <w:t>各项保障工作完成率</w:t>
            </w:r>
          </w:p>
        </w:tc>
        <w:tc>
          <w:tcPr>
            <w:tcW w:w="737" w:type="dxa"/>
            <w:noWrap w:val="0"/>
            <w:vAlign w:val="center"/>
          </w:tcPr>
          <w:p w14:paraId="42BF546D">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14:paraId="49157D8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14:paraId="59F633B6">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330AB96E">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r w14:paraId="2491F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rHeight w:val="227" w:hRule="atLeast"/>
          <w:jc w:val="center"/>
        </w:trPr>
        <w:tc>
          <w:tcPr>
            <w:tcW w:w="2341" w:type="dxa"/>
            <w:vMerge w:val="continue"/>
            <w:noWrap w:val="0"/>
            <w:vAlign w:val="center"/>
          </w:tcPr>
          <w:p w14:paraId="714C496B">
            <w:pPr>
              <w:spacing w:line="300" w:lineRule="exact"/>
              <w:jc w:val="left"/>
              <w:rPr>
                <w:rFonts w:hint="eastAsia" w:ascii="方正书宋_GBK" w:eastAsia="方正书宋_GBK"/>
                <w:b/>
              </w:rPr>
            </w:pPr>
          </w:p>
        </w:tc>
        <w:tc>
          <w:tcPr>
            <w:tcW w:w="1276" w:type="dxa"/>
            <w:vMerge w:val="continue"/>
            <w:noWrap w:val="0"/>
            <w:vAlign w:val="center"/>
          </w:tcPr>
          <w:p w14:paraId="155FA6A5">
            <w:pPr>
              <w:spacing w:line="300" w:lineRule="exact"/>
              <w:jc w:val="left"/>
              <w:rPr>
                <w:rFonts w:ascii="方正书宋_GBK" w:eastAsia="方正书宋_GBK"/>
              </w:rPr>
            </w:pPr>
          </w:p>
        </w:tc>
        <w:tc>
          <w:tcPr>
            <w:tcW w:w="2976" w:type="dxa"/>
            <w:vMerge w:val="continue"/>
            <w:noWrap w:val="0"/>
            <w:vAlign w:val="center"/>
          </w:tcPr>
          <w:p w14:paraId="39DF1138">
            <w:pPr>
              <w:spacing w:line="300" w:lineRule="exact"/>
              <w:jc w:val="left"/>
              <w:rPr>
                <w:rFonts w:hint="eastAsia" w:ascii="方正书宋_GBK" w:eastAsia="方正书宋_GBK"/>
              </w:rPr>
            </w:pPr>
          </w:p>
        </w:tc>
        <w:tc>
          <w:tcPr>
            <w:tcW w:w="2976" w:type="dxa"/>
            <w:vMerge w:val="continue"/>
            <w:noWrap w:val="0"/>
            <w:vAlign w:val="center"/>
          </w:tcPr>
          <w:p w14:paraId="5EE3D0F5">
            <w:pPr>
              <w:spacing w:line="300" w:lineRule="exact"/>
              <w:jc w:val="left"/>
              <w:rPr>
                <w:rFonts w:hint="eastAsia" w:ascii="方正书宋_GBK" w:eastAsia="方正书宋_GBK"/>
              </w:rPr>
            </w:pPr>
          </w:p>
        </w:tc>
        <w:tc>
          <w:tcPr>
            <w:tcW w:w="1417" w:type="dxa"/>
            <w:noWrap w:val="0"/>
            <w:vAlign w:val="center"/>
          </w:tcPr>
          <w:p w14:paraId="4B0E8027">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noWrap w:val="0"/>
            <w:vAlign w:val="center"/>
          </w:tcPr>
          <w:p w14:paraId="11BA34E5">
            <w:pPr>
              <w:spacing w:line="300" w:lineRule="exact"/>
              <w:jc w:val="center"/>
              <w:rPr>
                <w:rFonts w:ascii="方正书宋_GBK" w:eastAsia="方正书宋_GBK"/>
              </w:rPr>
            </w:pPr>
            <w:r>
              <w:rPr>
                <w:rFonts w:ascii="方正书宋_GBK" w:eastAsia="方正书宋_GBK"/>
              </w:rPr>
              <w:t>100%</w:t>
            </w:r>
          </w:p>
        </w:tc>
        <w:tc>
          <w:tcPr>
            <w:tcW w:w="737" w:type="dxa"/>
            <w:noWrap w:val="0"/>
            <w:vAlign w:val="center"/>
          </w:tcPr>
          <w:p w14:paraId="16ECF1CC">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noWrap w:val="0"/>
            <w:vAlign w:val="center"/>
          </w:tcPr>
          <w:p w14:paraId="2C4520F1">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noWrap w:val="0"/>
            <w:vAlign w:val="center"/>
          </w:tcPr>
          <w:p w14:paraId="126C7250">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r>
    </w:tbl>
    <w:p w14:paraId="3DABE8E8">
      <w:pPr>
        <w:jc w:val="center"/>
        <w:outlineLvl w:val="0"/>
        <w:rPr>
          <w:rFonts w:hint="eastAsia" w:ascii="方正小标宋_GBK" w:eastAsia="方正小标宋_GBK"/>
          <w:sz w:val="32"/>
        </w:rPr>
      </w:pPr>
      <w:bookmarkStart w:id="1" w:name="_Toc2327121"/>
    </w:p>
    <w:p w14:paraId="67CB08C5">
      <w:pPr>
        <w:jc w:val="center"/>
        <w:outlineLvl w:val="0"/>
        <w:rPr>
          <w:rFonts w:hint="eastAsia" w:ascii="方正小标宋_GBK" w:eastAsia="方正小标宋_GBK"/>
          <w:sz w:val="32"/>
        </w:rPr>
      </w:pPr>
    </w:p>
    <w:p w14:paraId="792CFBE2">
      <w:pPr>
        <w:autoSpaceDE w:val="0"/>
        <w:autoSpaceDN w:val="0"/>
        <w:adjustRightInd w:val="0"/>
        <w:ind w:firstLine="640" w:firstLineChars="200"/>
        <w:jc w:val="left"/>
        <w:rPr>
          <w:rFonts w:ascii="黑体" w:hAnsi="黑体" w:eastAsia="黑体"/>
          <w:sz w:val="32"/>
          <w:szCs w:val="32"/>
        </w:rPr>
      </w:pPr>
      <w:r>
        <w:rPr>
          <w:rFonts w:hint="eastAsia" w:ascii="方正小标宋_GBK" w:eastAsia="方正小标宋_GBK"/>
          <w:sz w:val="32"/>
        </w:rPr>
        <w:t>六、</w:t>
      </w:r>
      <w:r>
        <w:rPr>
          <w:rFonts w:hint="eastAsia" w:ascii="黑体" w:hAnsi="黑体" w:eastAsia="黑体"/>
          <w:sz w:val="32"/>
          <w:szCs w:val="32"/>
        </w:rPr>
        <w:t>政府采购预算情况</w:t>
      </w:r>
    </w:p>
    <w:p w14:paraId="394A8D36">
      <w:pPr>
        <w:outlineLvl w:val="0"/>
        <w:rPr>
          <w:rFonts w:ascii="仿宋" w:hAnsi="仿宋" w:eastAsia="仿宋" w:cs="仿宋"/>
          <w:sz w:val="32"/>
          <w:szCs w:val="32"/>
        </w:rPr>
      </w:pPr>
      <w:r>
        <w:rPr>
          <w:rFonts w:ascii="Times New Roman" w:hAnsi="Times New Roman" w:eastAsia="方正仿宋_GBK"/>
          <w:sz w:val="32"/>
          <w:szCs w:val="24"/>
        </w:rPr>
        <w:t xml:space="preserve">  </w:t>
      </w:r>
      <w:r>
        <w:rPr>
          <w:rFonts w:hint="eastAsia" w:ascii="Times New Roman" w:hAnsi="Times New Roman" w:eastAsia="方正仿宋_GBK"/>
          <w:sz w:val="32"/>
          <w:szCs w:val="24"/>
        </w:rPr>
        <w:t xml:space="preserve">    </w:t>
      </w:r>
      <w:r>
        <w:rPr>
          <w:rFonts w:ascii="Times New Roman" w:hAnsi="Times New Roman" w:eastAsia="方正仿宋_GBK"/>
          <w:sz w:val="32"/>
          <w:szCs w:val="24"/>
        </w:rPr>
        <w:t xml:space="preserve"> </w:t>
      </w:r>
      <w:r>
        <w:rPr>
          <w:rFonts w:hint="eastAsia" w:ascii="仿宋" w:hAnsi="仿宋" w:eastAsia="仿宋" w:cs="仿宋"/>
          <w:sz w:val="32"/>
          <w:szCs w:val="32"/>
        </w:rPr>
        <w:t>2019年我单位安排政府采购预算70万元。具体内容见下表。</w:t>
      </w:r>
    </w:p>
    <w:bookmarkEnd w:id="1"/>
    <w:p w14:paraId="320CD57A">
      <w:pPr>
        <w:jc w:val="center"/>
        <w:outlineLvl w:val="0"/>
        <w:rPr>
          <w:rFonts w:hint="eastAsia" w:ascii="方正小标宋_GBK" w:eastAsia="方正小标宋_GBK"/>
          <w:sz w:val="32"/>
        </w:rPr>
      </w:pPr>
      <w:bookmarkStart w:id="2" w:name="_Toc2327126"/>
    </w:p>
    <w:p w14:paraId="7AE01CC4">
      <w:pPr>
        <w:jc w:val="center"/>
        <w:outlineLvl w:val="0"/>
        <w:rPr>
          <w:rFonts w:hint="eastAsia" w:ascii="方正小标宋_GBK" w:eastAsia="方正小标宋_GBK"/>
          <w:sz w:val="32"/>
        </w:rPr>
      </w:pPr>
      <w:r>
        <w:rPr>
          <w:rFonts w:hint="eastAsia" w:ascii="方正小标宋_GBK" w:eastAsia="方正小标宋_GBK"/>
          <w:sz w:val="32"/>
        </w:rPr>
        <w:t>部门政府采购预算</w:t>
      </w:r>
      <w:bookmarkEnd w:id="2"/>
    </w:p>
    <w:tbl>
      <w:tblPr>
        <w:tblStyle w:val="8"/>
        <w:tblW w:w="485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38"/>
        <w:gridCol w:w="1089"/>
        <w:gridCol w:w="964"/>
        <w:gridCol w:w="1103"/>
        <w:gridCol w:w="751"/>
        <w:gridCol w:w="751"/>
        <w:gridCol w:w="839"/>
        <w:gridCol w:w="952"/>
        <w:gridCol w:w="952"/>
        <w:gridCol w:w="952"/>
        <w:gridCol w:w="952"/>
        <w:gridCol w:w="956"/>
        <w:gridCol w:w="956"/>
        <w:gridCol w:w="913"/>
      </w:tblGrid>
      <w:tr w14:paraId="305F4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blHeader/>
          <w:jc w:val="center"/>
        </w:trPr>
        <w:tc>
          <w:tcPr>
            <w:tcW w:w="2702" w:type="pct"/>
            <w:gridSpan w:val="7"/>
            <w:tcBorders>
              <w:top w:val="single" w:color="FFFFFF" w:sz="6" w:space="0"/>
              <w:left w:val="single" w:color="FFFFFF" w:sz="6" w:space="0"/>
              <w:right w:val="single" w:color="FFFFFF" w:sz="6" w:space="0"/>
            </w:tcBorders>
            <w:noWrap w:val="0"/>
            <w:vAlign w:val="center"/>
          </w:tcPr>
          <w:p w14:paraId="1D724238">
            <w:pPr>
              <w:spacing w:line="300" w:lineRule="exact"/>
              <w:jc w:val="left"/>
              <w:rPr>
                <w:rFonts w:ascii="方正小标宋_GBK" w:eastAsia="方正小标宋_GBK"/>
                <w:sz w:val="24"/>
              </w:rPr>
            </w:pPr>
            <w:r>
              <w:rPr>
                <w:rFonts w:ascii="方正小标宋_GBK" w:eastAsia="方正小标宋_GBK"/>
                <w:sz w:val="24"/>
              </w:rPr>
              <w:t>161</w:t>
            </w:r>
            <w:r>
              <w:rPr>
                <w:rFonts w:hint="eastAsia" w:ascii="方正小标宋_GBK" w:eastAsia="方正小标宋_GBK"/>
                <w:sz w:val="24"/>
              </w:rPr>
              <w:t>石家庄市鹿泉区人民法院</w:t>
            </w:r>
          </w:p>
        </w:tc>
        <w:tc>
          <w:tcPr>
            <w:tcW w:w="2298" w:type="pct"/>
            <w:gridSpan w:val="7"/>
            <w:tcBorders>
              <w:top w:val="single" w:color="FFFFFF" w:sz="6" w:space="0"/>
              <w:left w:val="single" w:color="FFFFFF" w:sz="6" w:space="0"/>
              <w:right w:val="single" w:color="FFFFFF" w:sz="6" w:space="0"/>
            </w:tcBorders>
            <w:noWrap w:val="0"/>
            <w:vAlign w:val="center"/>
          </w:tcPr>
          <w:p w14:paraId="487222B1">
            <w:pPr>
              <w:spacing w:line="300" w:lineRule="exact"/>
              <w:jc w:val="right"/>
              <w:rPr>
                <w:rFonts w:ascii="方正书宋_GBK" w:eastAsia="方正书宋_GBK"/>
                <w:sz w:val="24"/>
              </w:rPr>
            </w:pPr>
            <w:r>
              <w:rPr>
                <w:rFonts w:hint="eastAsia" w:ascii="方正书宋_GBK" w:eastAsia="方正书宋_GBK"/>
                <w:sz w:val="24"/>
              </w:rPr>
              <w:t>单位：万元</w:t>
            </w:r>
          </w:p>
        </w:tc>
      </w:tr>
      <w:tr w14:paraId="1C33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blHeader/>
          <w:jc w:val="center"/>
        </w:trPr>
        <w:tc>
          <w:tcPr>
            <w:tcW w:w="1217" w:type="pct"/>
            <w:gridSpan w:val="2"/>
            <w:noWrap w:val="0"/>
            <w:vAlign w:val="center"/>
          </w:tcPr>
          <w:p w14:paraId="249764CD">
            <w:pPr>
              <w:spacing w:line="300" w:lineRule="exact"/>
              <w:jc w:val="center"/>
              <w:rPr>
                <w:rFonts w:ascii="方正书宋_GBK" w:eastAsia="方正书宋_GBK"/>
                <w:b/>
              </w:rPr>
            </w:pPr>
            <w:r>
              <w:rPr>
                <w:rFonts w:hint="eastAsia" w:ascii="方正书宋_GBK" w:eastAsia="方正书宋_GBK"/>
                <w:b/>
              </w:rPr>
              <w:t>政府采购项目来源</w:t>
            </w:r>
          </w:p>
        </w:tc>
        <w:tc>
          <w:tcPr>
            <w:tcW w:w="334" w:type="pct"/>
            <w:vMerge w:val="restart"/>
            <w:noWrap w:val="0"/>
            <w:vAlign w:val="center"/>
          </w:tcPr>
          <w:p w14:paraId="7F3579FB">
            <w:pPr>
              <w:spacing w:line="300" w:lineRule="exact"/>
              <w:jc w:val="center"/>
              <w:rPr>
                <w:rFonts w:ascii="方正书宋_GBK" w:eastAsia="方正书宋_GBK"/>
                <w:b/>
              </w:rPr>
            </w:pPr>
            <w:r>
              <w:rPr>
                <w:rFonts w:hint="eastAsia" w:ascii="方正书宋_GBK" w:eastAsia="方正书宋_GBK"/>
                <w:b/>
              </w:rPr>
              <w:t>采购物品名称</w:t>
            </w:r>
          </w:p>
        </w:tc>
        <w:tc>
          <w:tcPr>
            <w:tcW w:w="338" w:type="pct"/>
            <w:vMerge w:val="restart"/>
            <w:noWrap w:val="0"/>
            <w:vAlign w:val="center"/>
          </w:tcPr>
          <w:p w14:paraId="375ED008">
            <w:pPr>
              <w:spacing w:line="300" w:lineRule="exact"/>
              <w:jc w:val="center"/>
              <w:rPr>
                <w:rFonts w:ascii="方正书宋_GBK" w:eastAsia="方正书宋_GBK"/>
                <w:b/>
              </w:rPr>
            </w:pPr>
            <w:r>
              <w:rPr>
                <w:rFonts w:hint="eastAsia" w:ascii="方正书宋_GBK" w:eastAsia="方正书宋_GBK"/>
                <w:b/>
              </w:rPr>
              <w:t>政府采购目录序号</w:t>
            </w:r>
          </w:p>
        </w:tc>
        <w:tc>
          <w:tcPr>
            <w:tcW w:w="261" w:type="pct"/>
            <w:vMerge w:val="restart"/>
            <w:noWrap w:val="0"/>
            <w:vAlign w:val="center"/>
          </w:tcPr>
          <w:p w14:paraId="49854A3E">
            <w:pPr>
              <w:spacing w:line="300" w:lineRule="exact"/>
              <w:jc w:val="center"/>
              <w:rPr>
                <w:rFonts w:ascii="方正书宋_GBK" w:eastAsia="方正书宋_GBK"/>
                <w:b/>
              </w:rPr>
            </w:pPr>
            <w:r>
              <w:rPr>
                <w:rFonts w:hint="eastAsia" w:ascii="方正书宋_GBK" w:eastAsia="方正书宋_GBK"/>
                <w:b/>
              </w:rPr>
              <w:t>数量</w:t>
            </w:r>
            <w:r>
              <w:rPr>
                <w:rFonts w:ascii="方正书宋_GBK" w:eastAsia="方正书宋_GBK"/>
                <w:b/>
              </w:rPr>
              <w:t xml:space="preserve">  </w:t>
            </w:r>
            <w:r>
              <w:rPr>
                <w:rFonts w:hint="eastAsia" w:ascii="方正书宋_GBK" w:eastAsia="方正书宋_GBK"/>
                <w:b/>
              </w:rPr>
              <w:t>单位</w:t>
            </w:r>
          </w:p>
        </w:tc>
        <w:tc>
          <w:tcPr>
            <w:tcW w:w="261" w:type="pct"/>
            <w:vMerge w:val="restart"/>
            <w:noWrap w:val="0"/>
            <w:vAlign w:val="center"/>
          </w:tcPr>
          <w:p w14:paraId="5AEA7790">
            <w:pPr>
              <w:spacing w:line="300" w:lineRule="exact"/>
              <w:jc w:val="center"/>
              <w:rPr>
                <w:rFonts w:ascii="方正书宋_GBK" w:eastAsia="方正书宋_GBK"/>
                <w:b/>
              </w:rPr>
            </w:pPr>
            <w:r>
              <w:rPr>
                <w:rFonts w:hint="eastAsia" w:ascii="方正书宋_GBK" w:eastAsia="方正书宋_GBK"/>
                <w:b/>
              </w:rPr>
              <w:t>数量</w:t>
            </w:r>
          </w:p>
        </w:tc>
        <w:tc>
          <w:tcPr>
            <w:tcW w:w="290" w:type="pct"/>
            <w:vMerge w:val="restart"/>
            <w:noWrap w:val="0"/>
            <w:vAlign w:val="center"/>
          </w:tcPr>
          <w:p w14:paraId="0C303E10">
            <w:pPr>
              <w:spacing w:line="300" w:lineRule="exact"/>
              <w:jc w:val="center"/>
              <w:rPr>
                <w:rFonts w:ascii="方正书宋_GBK" w:eastAsia="方正书宋_GBK"/>
                <w:b/>
              </w:rPr>
            </w:pPr>
            <w:r>
              <w:rPr>
                <w:rFonts w:hint="eastAsia" w:ascii="方正书宋_GBK" w:eastAsia="方正书宋_GBK"/>
                <w:b/>
              </w:rPr>
              <w:t>单价</w:t>
            </w:r>
          </w:p>
        </w:tc>
        <w:tc>
          <w:tcPr>
            <w:tcW w:w="2298" w:type="pct"/>
            <w:gridSpan w:val="7"/>
            <w:noWrap w:val="0"/>
            <w:vAlign w:val="center"/>
          </w:tcPr>
          <w:p w14:paraId="71EF176A">
            <w:pPr>
              <w:spacing w:line="300" w:lineRule="exact"/>
              <w:jc w:val="center"/>
              <w:rPr>
                <w:rFonts w:ascii="方正书宋_GBK" w:eastAsia="方正书宋_GBK"/>
                <w:b/>
              </w:rPr>
            </w:pPr>
            <w:r>
              <w:rPr>
                <w:rFonts w:hint="eastAsia" w:ascii="方正书宋_GBK" w:eastAsia="方正书宋_GBK"/>
                <w:b/>
              </w:rPr>
              <w:t>政府采购金额</w:t>
            </w:r>
          </w:p>
        </w:tc>
      </w:tr>
      <w:tr w14:paraId="16C55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blHeader/>
          <w:jc w:val="center"/>
        </w:trPr>
        <w:tc>
          <w:tcPr>
            <w:tcW w:w="840" w:type="pct"/>
            <w:vMerge w:val="restart"/>
            <w:noWrap w:val="0"/>
            <w:vAlign w:val="center"/>
          </w:tcPr>
          <w:p w14:paraId="01C0F89E">
            <w:pPr>
              <w:spacing w:line="300" w:lineRule="exact"/>
              <w:jc w:val="center"/>
              <w:rPr>
                <w:rFonts w:ascii="方正书宋_GBK" w:eastAsia="方正书宋_GBK"/>
                <w:b/>
              </w:rPr>
            </w:pPr>
            <w:r>
              <w:rPr>
                <w:rFonts w:hint="eastAsia" w:ascii="方正书宋_GBK" w:eastAsia="方正书宋_GBK"/>
                <w:b/>
              </w:rPr>
              <w:t>项目名称</w:t>
            </w:r>
          </w:p>
        </w:tc>
        <w:tc>
          <w:tcPr>
            <w:tcW w:w="377" w:type="pct"/>
            <w:vMerge w:val="restart"/>
            <w:noWrap w:val="0"/>
            <w:vAlign w:val="center"/>
          </w:tcPr>
          <w:p w14:paraId="2A8FB122">
            <w:pPr>
              <w:spacing w:line="300" w:lineRule="exact"/>
              <w:jc w:val="center"/>
              <w:rPr>
                <w:rFonts w:ascii="方正书宋_GBK" w:eastAsia="方正书宋_GBK"/>
                <w:b/>
              </w:rPr>
            </w:pPr>
            <w:r>
              <w:rPr>
                <w:rFonts w:hint="eastAsia" w:ascii="方正书宋_GBK" w:eastAsia="方正书宋_GBK"/>
                <w:b/>
              </w:rPr>
              <w:t>预算资金</w:t>
            </w:r>
          </w:p>
        </w:tc>
        <w:tc>
          <w:tcPr>
            <w:tcW w:w="334" w:type="pct"/>
            <w:vMerge w:val="continue"/>
            <w:noWrap w:val="0"/>
            <w:vAlign w:val="center"/>
          </w:tcPr>
          <w:p w14:paraId="377B3D12">
            <w:pPr>
              <w:spacing w:line="300" w:lineRule="exact"/>
              <w:jc w:val="left"/>
              <w:outlineLvl w:val="0"/>
            </w:pPr>
          </w:p>
        </w:tc>
        <w:tc>
          <w:tcPr>
            <w:tcW w:w="338" w:type="pct"/>
            <w:vMerge w:val="continue"/>
            <w:noWrap w:val="0"/>
            <w:vAlign w:val="center"/>
          </w:tcPr>
          <w:p w14:paraId="26B308D2">
            <w:pPr>
              <w:spacing w:line="300" w:lineRule="exact"/>
              <w:jc w:val="left"/>
              <w:outlineLvl w:val="0"/>
            </w:pPr>
          </w:p>
        </w:tc>
        <w:tc>
          <w:tcPr>
            <w:tcW w:w="261" w:type="pct"/>
            <w:vMerge w:val="continue"/>
            <w:noWrap w:val="0"/>
            <w:vAlign w:val="center"/>
          </w:tcPr>
          <w:p w14:paraId="2EBCBF79">
            <w:pPr>
              <w:spacing w:line="300" w:lineRule="exact"/>
              <w:jc w:val="left"/>
              <w:outlineLvl w:val="0"/>
            </w:pPr>
          </w:p>
        </w:tc>
        <w:tc>
          <w:tcPr>
            <w:tcW w:w="261" w:type="pct"/>
            <w:vMerge w:val="continue"/>
            <w:noWrap w:val="0"/>
            <w:vAlign w:val="center"/>
          </w:tcPr>
          <w:p w14:paraId="136A5D11">
            <w:pPr>
              <w:spacing w:line="300" w:lineRule="exact"/>
              <w:jc w:val="left"/>
              <w:outlineLvl w:val="0"/>
            </w:pPr>
          </w:p>
        </w:tc>
        <w:tc>
          <w:tcPr>
            <w:tcW w:w="290" w:type="pct"/>
            <w:vMerge w:val="continue"/>
            <w:noWrap w:val="0"/>
            <w:vAlign w:val="center"/>
          </w:tcPr>
          <w:p w14:paraId="56E4B007">
            <w:pPr>
              <w:spacing w:line="300" w:lineRule="exact"/>
              <w:jc w:val="left"/>
              <w:outlineLvl w:val="0"/>
            </w:pPr>
          </w:p>
        </w:tc>
        <w:tc>
          <w:tcPr>
            <w:tcW w:w="330" w:type="pct"/>
            <w:vMerge w:val="restart"/>
            <w:noWrap w:val="0"/>
            <w:vAlign w:val="center"/>
          </w:tcPr>
          <w:p w14:paraId="413C6168">
            <w:pPr>
              <w:spacing w:line="300" w:lineRule="exact"/>
              <w:jc w:val="center"/>
              <w:rPr>
                <w:rFonts w:ascii="方正书宋_GBK" w:eastAsia="方正书宋_GBK"/>
                <w:b/>
              </w:rPr>
            </w:pPr>
            <w:r>
              <w:rPr>
                <w:rFonts w:hint="eastAsia" w:ascii="方正书宋_GBK" w:eastAsia="方正书宋_GBK"/>
                <w:b/>
              </w:rPr>
              <w:t>总计</w:t>
            </w:r>
          </w:p>
        </w:tc>
        <w:tc>
          <w:tcPr>
            <w:tcW w:w="1651" w:type="pct"/>
            <w:gridSpan w:val="5"/>
            <w:noWrap w:val="0"/>
            <w:vAlign w:val="center"/>
          </w:tcPr>
          <w:p w14:paraId="338133B4">
            <w:pPr>
              <w:spacing w:line="300" w:lineRule="exact"/>
              <w:jc w:val="center"/>
              <w:rPr>
                <w:rFonts w:ascii="方正书宋_GBK" w:eastAsia="方正书宋_GBK"/>
                <w:b/>
              </w:rPr>
            </w:pPr>
            <w:r>
              <w:rPr>
                <w:rFonts w:hint="eastAsia" w:ascii="方正书宋_GBK" w:eastAsia="方正书宋_GBK"/>
                <w:b/>
              </w:rPr>
              <w:t>当年部门预算安排资金</w:t>
            </w:r>
          </w:p>
        </w:tc>
        <w:tc>
          <w:tcPr>
            <w:tcW w:w="317" w:type="pct"/>
            <w:vMerge w:val="restart"/>
            <w:noWrap w:val="0"/>
            <w:vAlign w:val="center"/>
          </w:tcPr>
          <w:p w14:paraId="1B0E1D8D">
            <w:pPr>
              <w:spacing w:line="300" w:lineRule="exact"/>
              <w:jc w:val="center"/>
              <w:rPr>
                <w:rFonts w:ascii="方正书宋_GBK" w:eastAsia="方正书宋_GBK"/>
                <w:b/>
              </w:rPr>
            </w:pPr>
            <w:r>
              <w:rPr>
                <w:rFonts w:hint="eastAsia" w:ascii="方正书宋_GBK" w:eastAsia="方正书宋_GBK"/>
                <w:b/>
              </w:rPr>
              <w:t>其他渠道资金</w:t>
            </w:r>
          </w:p>
        </w:tc>
      </w:tr>
      <w:tr w14:paraId="122B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tblHeader/>
          <w:jc w:val="center"/>
        </w:trPr>
        <w:tc>
          <w:tcPr>
            <w:tcW w:w="840" w:type="pct"/>
            <w:vMerge w:val="continue"/>
            <w:noWrap w:val="0"/>
            <w:vAlign w:val="center"/>
          </w:tcPr>
          <w:p w14:paraId="00986C85">
            <w:pPr>
              <w:spacing w:line="300" w:lineRule="exact"/>
              <w:jc w:val="left"/>
              <w:outlineLvl w:val="0"/>
            </w:pPr>
          </w:p>
        </w:tc>
        <w:tc>
          <w:tcPr>
            <w:tcW w:w="377" w:type="pct"/>
            <w:vMerge w:val="continue"/>
            <w:noWrap w:val="0"/>
            <w:vAlign w:val="center"/>
          </w:tcPr>
          <w:p w14:paraId="5F29D1B9">
            <w:pPr>
              <w:spacing w:line="300" w:lineRule="exact"/>
              <w:jc w:val="left"/>
              <w:outlineLvl w:val="0"/>
            </w:pPr>
          </w:p>
        </w:tc>
        <w:tc>
          <w:tcPr>
            <w:tcW w:w="334" w:type="pct"/>
            <w:vMerge w:val="continue"/>
            <w:noWrap w:val="0"/>
            <w:vAlign w:val="center"/>
          </w:tcPr>
          <w:p w14:paraId="27B00D6A">
            <w:pPr>
              <w:spacing w:line="300" w:lineRule="exact"/>
              <w:jc w:val="left"/>
              <w:outlineLvl w:val="0"/>
            </w:pPr>
          </w:p>
        </w:tc>
        <w:tc>
          <w:tcPr>
            <w:tcW w:w="338" w:type="pct"/>
            <w:vMerge w:val="continue"/>
            <w:noWrap w:val="0"/>
            <w:vAlign w:val="center"/>
          </w:tcPr>
          <w:p w14:paraId="4A6BE2BE">
            <w:pPr>
              <w:spacing w:line="300" w:lineRule="exact"/>
              <w:jc w:val="left"/>
              <w:outlineLvl w:val="0"/>
            </w:pPr>
          </w:p>
        </w:tc>
        <w:tc>
          <w:tcPr>
            <w:tcW w:w="261" w:type="pct"/>
            <w:vMerge w:val="continue"/>
            <w:noWrap w:val="0"/>
            <w:vAlign w:val="center"/>
          </w:tcPr>
          <w:p w14:paraId="1BF46549">
            <w:pPr>
              <w:spacing w:line="300" w:lineRule="exact"/>
              <w:jc w:val="left"/>
              <w:outlineLvl w:val="0"/>
            </w:pPr>
          </w:p>
        </w:tc>
        <w:tc>
          <w:tcPr>
            <w:tcW w:w="261" w:type="pct"/>
            <w:vMerge w:val="continue"/>
            <w:noWrap w:val="0"/>
            <w:vAlign w:val="center"/>
          </w:tcPr>
          <w:p w14:paraId="075260B8">
            <w:pPr>
              <w:spacing w:line="300" w:lineRule="exact"/>
              <w:jc w:val="left"/>
              <w:outlineLvl w:val="0"/>
            </w:pPr>
          </w:p>
        </w:tc>
        <w:tc>
          <w:tcPr>
            <w:tcW w:w="290" w:type="pct"/>
            <w:vMerge w:val="continue"/>
            <w:noWrap w:val="0"/>
            <w:vAlign w:val="center"/>
          </w:tcPr>
          <w:p w14:paraId="1751BCE5">
            <w:pPr>
              <w:spacing w:line="300" w:lineRule="exact"/>
              <w:jc w:val="left"/>
              <w:outlineLvl w:val="0"/>
            </w:pPr>
          </w:p>
        </w:tc>
        <w:tc>
          <w:tcPr>
            <w:tcW w:w="330" w:type="pct"/>
            <w:vMerge w:val="continue"/>
            <w:noWrap w:val="0"/>
            <w:vAlign w:val="center"/>
          </w:tcPr>
          <w:p w14:paraId="795C1CAF">
            <w:pPr>
              <w:spacing w:line="300" w:lineRule="exact"/>
              <w:jc w:val="left"/>
              <w:outlineLvl w:val="0"/>
            </w:pPr>
          </w:p>
        </w:tc>
        <w:tc>
          <w:tcPr>
            <w:tcW w:w="330" w:type="pct"/>
            <w:noWrap w:val="0"/>
            <w:vAlign w:val="center"/>
          </w:tcPr>
          <w:p w14:paraId="30A247F2">
            <w:pPr>
              <w:spacing w:line="300" w:lineRule="exact"/>
              <w:jc w:val="center"/>
              <w:rPr>
                <w:rFonts w:ascii="方正书宋_GBK" w:eastAsia="方正书宋_GBK"/>
                <w:b/>
              </w:rPr>
            </w:pPr>
            <w:r>
              <w:rPr>
                <w:rFonts w:hint="eastAsia" w:ascii="方正书宋_GBK" w:eastAsia="方正书宋_GBK"/>
                <w:b/>
              </w:rPr>
              <w:t>合计</w:t>
            </w:r>
          </w:p>
        </w:tc>
        <w:tc>
          <w:tcPr>
            <w:tcW w:w="330" w:type="pct"/>
            <w:noWrap w:val="0"/>
            <w:vAlign w:val="center"/>
          </w:tcPr>
          <w:p w14:paraId="19DE2F91">
            <w:pPr>
              <w:spacing w:line="300" w:lineRule="exact"/>
              <w:jc w:val="center"/>
              <w:rPr>
                <w:rFonts w:ascii="方正书宋_GBK" w:eastAsia="方正书宋_GBK"/>
                <w:b/>
              </w:rPr>
            </w:pPr>
            <w:r>
              <w:rPr>
                <w:rFonts w:hint="eastAsia" w:ascii="方正书宋_GBK" w:eastAsia="方正书宋_GBK"/>
                <w:b/>
              </w:rPr>
              <w:t>一般公共预算拨款</w:t>
            </w:r>
          </w:p>
        </w:tc>
        <w:tc>
          <w:tcPr>
            <w:tcW w:w="330" w:type="pct"/>
            <w:noWrap w:val="0"/>
            <w:vAlign w:val="center"/>
          </w:tcPr>
          <w:p w14:paraId="5F2CA6E6">
            <w:pPr>
              <w:spacing w:line="300" w:lineRule="exact"/>
              <w:jc w:val="center"/>
              <w:rPr>
                <w:rFonts w:ascii="方正书宋_GBK" w:eastAsia="方正书宋_GBK"/>
                <w:b/>
              </w:rPr>
            </w:pPr>
            <w:r>
              <w:rPr>
                <w:rFonts w:hint="eastAsia" w:ascii="方正书宋_GBK" w:eastAsia="方正书宋_GBK"/>
                <w:b/>
              </w:rPr>
              <w:t>基金预算拨款</w:t>
            </w:r>
          </w:p>
        </w:tc>
        <w:tc>
          <w:tcPr>
            <w:tcW w:w="331" w:type="pct"/>
            <w:noWrap w:val="0"/>
            <w:vAlign w:val="center"/>
          </w:tcPr>
          <w:p w14:paraId="3E27E7F6">
            <w:pPr>
              <w:spacing w:line="300" w:lineRule="exact"/>
              <w:jc w:val="center"/>
              <w:rPr>
                <w:rFonts w:ascii="方正书宋_GBK" w:eastAsia="方正书宋_GBK"/>
                <w:b/>
              </w:rPr>
            </w:pPr>
            <w:r>
              <w:rPr>
                <w:rFonts w:hint="eastAsia" w:ascii="方正书宋_GBK" w:eastAsia="方正书宋_GBK"/>
                <w:b/>
              </w:rPr>
              <w:t>财政专户核拨</w:t>
            </w:r>
          </w:p>
        </w:tc>
        <w:tc>
          <w:tcPr>
            <w:tcW w:w="331" w:type="pct"/>
            <w:noWrap w:val="0"/>
            <w:vAlign w:val="center"/>
          </w:tcPr>
          <w:p w14:paraId="10D10E34">
            <w:pPr>
              <w:spacing w:line="300" w:lineRule="exact"/>
              <w:jc w:val="center"/>
              <w:rPr>
                <w:rFonts w:ascii="方正书宋_GBK" w:eastAsia="方正书宋_GBK"/>
                <w:b/>
              </w:rPr>
            </w:pPr>
            <w:r>
              <w:rPr>
                <w:rFonts w:hint="eastAsia" w:ascii="方正书宋_GBK" w:eastAsia="方正书宋_GBK"/>
                <w:b/>
              </w:rPr>
              <w:t>其他来源收入</w:t>
            </w:r>
          </w:p>
        </w:tc>
        <w:tc>
          <w:tcPr>
            <w:tcW w:w="317" w:type="pct"/>
            <w:vMerge w:val="continue"/>
            <w:noWrap w:val="0"/>
            <w:vAlign w:val="center"/>
          </w:tcPr>
          <w:p w14:paraId="3240C4F9">
            <w:pPr>
              <w:spacing w:line="300" w:lineRule="exact"/>
              <w:jc w:val="left"/>
              <w:outlineLvl w:val="0"/>
            </w:pPr>
          </w:p>
        </w:tc>
      </w:tr>
      <w:tr w14:paraId="7FD33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jc w:val="center"/>
        </w:trPr>
        <w:tc>
          <w:tcPr>
            <w:tcW w:w="840" w:type="pct"/>
            <w:noWrap w:val="0"/>
            <w:vAlign w:val="center"/>
          </w:tcPr>
          <w:p w14:paraId="72EED90E">
            <w:pPr>
              <w:spacing w:line="300" w:lineRule="exact"/>
              <w:jc w:val="center"/>
              <w:rPr>
                <w:rFonts w:ascii="方正书宋_GBK" w:eastAsia="方正书宋_GBK"/>
                <w:b/>
              </w:rPr>
            </w:pPr>
            <w:r>
              <w:rPr>
                <w:rFonts w:hint="eastAsia" w:ascii="方正书宋_GBK" w:eastAsia="方正书宋_GBK"/>
                <w:b/>
              </w:rPr>
              <w:t>合　计</w:t>
            </w:r>
          </w:p>
        </w:tc>
        <w:tc>
          <w:tcPr>
            <w:tcW w:w="377" w:type="pct"/>
            <w:noWrap w:val="0"/>
            <w:vAlign w:val="center"/>
          </w:tcPr>
          <w:p w14:paraId="1BF5EDDD">
            <w:pPr>
              <w:spacing w:line="300" w:lineRule="exact"/>
              <w:jc w:val="right"/>
              <w:rPr>
                <w:rFonts w:ascii="方正书宋_GBK" w:eastAsia="方正书宋_GBK"/>
                <w:b/>
              </w:rPr>
            </w:pPr>
          </w:p>
        </w:tc>
        <w:tc>
          <w:tcPr>
            <w:tcW w:w="334" w:type="pct"/>
            <w:noWrap w:val="0"/>
            <w:vAlign w:val="center"/>
          </w:tcPr>
          <w:p w14:paraId="76BADBF0">
            <w:pPr>
              <w:spacing w:line="300" w:lineRule="exact"/>
              <w:jc w:val="left"/>
              <w:rPr>
                <w:rFonts w:ascii="方正书宋_GBK" w:eastAsia="方正书宋_GBK"/>
                <w:b/>
              </w:rPr>
            </w:pPr>
          </w:p>
        </w:tc>
        <w:tc>
          <w:tcPr>
            <w:tcW w:w="338" w:type="pct"/>
            <w:noWrap w:val="0"/>
            <w:vAlign w:val="center"/>
          </w:tcPr>
          <w:p w14:paraId="2FC5BB9C">
            <w:pPr>
              <w:spacing w:line="300" w:lineRule="exact"/>
              <w:jc w:val="left"/>
              <w:rPr>
                <w:rFonts w:ascii="方正书宋_GBK" w:eastAsia="方正书宋_GBK"/>
                <w:b/>
              </w:rPr>
            </w:pPr>
          </w:p>
        </w:tc>
        <w:tc>
          <w:tcPr>
            <w:tcW w:w="261" w:type="pct"/>
            <w:noWrap w:val="0"/>
            <w:vAlign w:val="center"/>
          </w:tcPr>
          <w:p w14:paraId="73855C21">
            <w:pPr>
              <w:spacing w:line="300" w:lineRule="exact"/>
              <w:jc w:val="left"/>
              <w:rPr>
                <w:rFonts w:ascii="方正书宋_GBK" w:eastAsia="方正书宋_GBK"/>
                <w:b/>
              </w:rPr>
            </w:pPr>
          </w:p>
        </w:tc>
        <w:tc>
          <w:tcPr>
            <w:tcW w:w="261" w:type="pct"/>
            <w:noWrap w:val="0"/>
            <w:vAlign w:val="center"/>
          </w:tcPr>
          <w:p w14:paraId="314E714C">
            <w:pPr>
              <w:spacing w:line="300" w:lineRule="exact"/>
              <w:jc w:val="right"/>
              <w:rPr>
                <w:rFonts w:ascii="方正书宋_GBK" w:eastAsia="方正书宋_GBK"/>
                <w:b/>
              </w:rPr>
            </w:pPr>
          </w:p>
        </w:tc>
        <w:tc>
          <w:tcPr>
            <w:tcW w:w="290" w:type="pct"/>
            <w:noWrap w:val="0"/>
            <w:vAlign w:val="center"/>
          </w:tcPr>
          <w:p w14:paraId="207C5C87">
            <w:pPr>
              <w:spacing w:line="300" w:lineRule="exact"/>
              <w:jc w:val="right"/>
              <w:rPr>
                <w:rFonts w:ascii="方正书宋_GBK" w:eastAsia="方正书宋_GBK"/>
                <w:b/>
              </w:rPr>
            </w:pPr>
          </w:p>
        </w:tc>
        <w:tc>
          <w:tcPr>
            <w:tcW w:w="330" w:type="pct"/>
            <w:noWrap w:val="0"/>
            <w:vAlign w:val="center"/>
          </w:tcPr>
          <w:p w14:paraId="4E40406C">
            <w:pPr>
              <w:spacing w:line="300" w:lineRule="exact"/>
              <w:jc w:val="right"/>
              <w:rPr>
                <w:rFonts w:ascii="方正书宋_GBK" w:eastAsia="方正书宋_GBK"/>
                <w:b/>
              </w:rPr>
            </w:pPr>
            <w:r>
              <w:rPr>
                <w:rFonts w:ascii="方正书宋_GBK" w:eastAsia="方正书宋_GBK"/>
                <w:b/>
              </w:rPr>
              <w:t>70.00</w:t>
            </w:r>
          </w:p>
        </w:tc>
        <w:tc>
          <w:tcPr>
            <w:tcW w:w="330" w:type="pct"/>
            <w:noWrap w:val="0"/>
            <w:vAlign w:val="center"/>
          </w:tcPr>
          <w:p w14:paraId="3F66A54C">
            <w:pPr>
              <w:spacing w:line="300" w:lineRule="exact"/>
              <w:jc w:val="right"/>
              <w:rPr>
                <w:rFonts w:ascii="方正书宋_GBK" w:eastAsia="方正书宋_GBK"/>
                <w:b/>
              </w:rPr>
            </w:pPr>
            <w:r>
              <w:rPr>
                <w:rFonts w:ascii="方正书宋_GBK" w:eastAsia="方正书宋_GBK"/>
                <w:b/>
              </w:rPr>
              <w:t>70.00</w:t>
            </w:r>
          </w:p>
        </w:tc>
        <w:tc>
          <w:tcPr>
            <w:tcW w:w="330" w:type="pct"/>
            <w:noWrap w:val="0"/>
            <w:vAlign w:val="center"/>
          </w:tcPr>
          <w:p w14:paraId="67B1E8ED">
            <w:pPr>
              <w:spacing w:line="300" w:lineRule="exact"/>
              <w:jc w:val="right"/>
              <w:rPr>
                <w:rFonts w:ascii="方正书宋_GBK" w:eastAsia="方正书宋_GBK"/>
                <w:b/>
              </w:rPr>
            </w:pPr>
            <w:r>
              <w:rPr>
                <w:rFonts w:ascii="方正书宋_GBK" w:eastAsia="方正书宋_GBK"/>
                <w:b/>
              </w:rPr>
              <w:t>70.00</w:t>
            </w:r>
          </w:p>
        </w:tc>
        <w:tc>
          <w:tcPr>
            <w:tcW w:w="330" w:type="pct"/>
            <w:noWrap w:val="0"/>
            <w:vAlign w:val="center"/>
          </w:tcPr>
          <w:p w14:paraId="3AAF4DF9">
            <w:pPr>
              <w:spacing w:line="300" w:lineRule="exact"/>
              <w:jc w:val="right"/>
              <w:rPr>
                <w:rFonts w:ascii="方正书宋_GBK" w:eastAsia="方正书宋_GBK"/>
                <w:b/>
              </w:rPr>
            </w:pPr>
          </w:p>
        </w:tc>
        <w:tc>
          <w:tcPr>
            <w:tcW w:w="331" w:type="pct"/>
            <w:noWrap w:val="0"/>
            <w:vAlign w:val="center"/>
          </w:tcPr>
          <w:p w14:paraId="72F12673">
            <w:pPr>
              <w:spacing w:line="300" w:lineRule="exact"/>
              <w:jc w:val="right"/>
              <w:rPr>
                <w:rFonts w:ascii="方正书宋_GBK" w:eastAsia="方正书宋_GBK"/>
                <w:b/>
              </w:rPr>
            </w:pPr>
          </w:p>
        </w:tc>
        <w:tc>
          <w:tcPr>
            <w:tcW w:w="331" w:type="pct"/>
            <w:noWrap w:val="0"/>
            <w:vAlign w:val="center"/>
          </w:tcPr>
          <w:p w14:paraId="2E1AA70A">
            <w:pPr>
              <w:spacing w:line="300" w:lineRule="exact"/>
              <w:jc w:val="right"/>
              <w:rPr>
                <w:rFonts w:ascii="方正书宋_GBK" w:eastAsia="方正书宋_GBK"/>
                <w:b/>
              </w:rPr>
            </w:pPr>
          </w:p>
        </w:tc>
        <w:tc>
          <w:tcPr>
            <w:tcW w:w="317" w:type="pct"/>
            <w:noWrap w:val="0"/>
            <w:vAlign w:val="center"/>
          </w:tcPr>
          <w:p w14:paraId="19D076E6">
            <w:pPr>
              <w:spacing w:line="300" w:lineRule="exact"/>
              <w:jc w:val="right"/>
              <w:rPr>
                <w:rFonts w:ascii="方正书宋_GBK" w:eastAsia="方正书宋_GBK"/>
                <w:b/>
              </w:rPr>
            </w:pPr>
          </w:p>
        </w:tc>
      </w:tr>
      <w:tr w14:paraId="46AA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jc w:val="center"/>
        </w:trPr>
        <w:tc>
          <w:tcPr>
            <w:tcW w:w="840" w:type="pct"/>
            <w:noWrap w:val="0"/>
            <w:vAlign w:val="center"/>
          </w:tcPr>
          <w:p w14:paraId="3E91B4B7">
            <w:pPr>
              <w:spacing w:line="300" w:lineRule="exact"/>
              <w:jc w:val="center"/>
              <w:rPr>
                <w:rFonts w:hint="eastAsia" w:ascii="方正书宋_GBK" w:eastAsia="方正书宋_GBK"/>
                <w:b/>
              </w:rPr>
            </w:pPr>
            <w:r>
              <w:rPr>
                <w:rFonts w:hint="eastAsia" w:ascii="方正书宋_GBK" w:eastAsia="方正书宋_GBK"/>
                <w:b/>
              </w:rPr>
              <w:t>石家庄市鹿泉区人民法院小计</w:t>
            </w:r>
          </w:p>
        </w:tc>
        <w:tc>
          <w:tcPr>
            <w:tcW w:w="377" w:type="pct"/>
            <w:noWrap w:val="0"/>
            <w:vAlign w:val="center"/>
          </w:tcPr>
          <w:p w14:paraId="2DFB24CD">
            <w:pPr>
              <w:spacing w:line="300" w:lineRule="exact"/>
              <w:jc w:val="right"/>
              <w:rPr>
                <w:rFonts w:ascii="方正书宋_GBK" w:eastAsia="方正书宋_GBK"/>
                <w:b/>
              </w:rPr>
            </w:pPr>
          </w:p>
        </w:tc>
        <w:tc>
          <w:tcPr>
            <w:tcW w:w="334" w:type="pct"/>
            <w:noWrap w:val="0"/>
            <w:vAlign w:val="center"/>
          </w:tcPr>
          <w:p w14:paraId="0B58B749">
            <w:pPr>
              <w:spacing w:line="300" w:lineRule="exact"/>
              <w:jc w:val="left"/>
              <w:rPr>
                <w:rFonts w:ascii="方正书宋_GBK" w:eastAsia="方正书宋_GBK"/>
                <w:b/>
              </w:rPr>
            </w:pPr>
          </w:p>
        </w:tc>
        <w:tc>
          <w:tcPr>
            <w:tcW w:w="338" w:type="pct"/>
            <w:noWrap w:val="0"/>
            <w:vAlign w:val="center"/>
          </w:tcPr>
          <w:p w14:paraId="23CEE3DF">
            <w:pPr>
              <w:spacing w:line="300" w:lineRule="exact"/>
              <w:jc w:val="left"/>
              <w:rPr>
                <w:rFonts w:ascii="方正书宋_GBK" w:eastAsia="方正书宋_GBK"/>
                <w:b/>
              </w:rPr>
            </w:pPr>
          </w:p>
        </w:tc>
        <w:tc>
          <w:tcPr>
            <w:tcW w:w="261" w:type="pct"/>
            <w:noWrap w:val="0"/>
            <w:vAlign w:val="center"/>
          </w:tcPr>
          <w:p w14:paraId="5012140D">
            <w:pPr>
              <w:spacing w:line="300" w:lineRule="exact"/>
              <w:jc w:val="left"/>
              <w:rPr>
                <w:rFonts w:ascii="方正书宋_GBK" w:eastAsia="方正书宋_GBK"/>
                <w:b/>
              </w:rPr>
            </w:pPr>
          </w:p>
        </w:tc>
        <w:tc>
          <w:tcPr>
            <w:tcW w:w="261" w:type="pct"/>
            <w:noWrap w:val="0"/>
            <w:vAlign w:val="center"/>
          </w:tcPr>
          <w:p w14:paraId="1F87B66B">
            <w:pPr>
              <w:spacing w:line="300" w:lineRule="exact"/>
              <w:jc w:val="right"/>
              <w:rPr>
                <w:rFonts w:ascii="方正书宋_GBK" w:eastAsia="方正书宋_GBK"/>
                <w:b/>
              </w:rPr>
            </w:pPr>
          </w:p>
        </w:tc>
        <w:tc>
          <w:tcPr>
            <w:tcW w:w="290" w:type="pct"/>
            <w:noWrap w:val="0"/>
            <w:vAlign w:val="center"/>
          </w:tcPr>
          <w:p w14:paraId="0D4EEFD8">
            <w:pPr>
              <w:spacing w:line="300" w:lineRule="exact"/>
              <w:jc w:val="right"/>
              <w:rPr>
                <w:rFonts w:ascii="方正书宋_GBK" w:eastAsia="方正书宋_GBK"/>
                <w:b/>
              </w:rPr>
            </w:pPr>
          </w:p>
        </w:tc>
        <w:tc>
          <w:tcPr>
            <w:tcW w:w="330" w:type="pct"/>
            <w:noWrap w:val="0"/>
            <w:vAlign w:val="center"/>
          </w:tcPr>
          <w:p w14:paraId="371221C8">
            <w:pPr>
              <w:spacing w:line="300" w:lineRule="exact"/>
              <w:jc w:val="right"/>
              <w:rPr>
                <w:rFonts w:ascii="方正书宋_GBK" w:eastAsia="方正书宋_GBK"/>
                <w:b/>
              </w:rPr>
            </w:pPr>
            <w:r>
              <w:rPr>
                <w:rFonts w:ascii="方正书宋_GBK" w:eastAsia="方正书宋_GBK"/>
                <w:b/>
              </w:rPr>
              <w:t>70.00</w:t>
            </w:r>
          </w:p>
        </w:tc>
        <w:tc>
          <w:tcPr>
            <w:tcW w:w="330" w:type="pct"/>
            <w:noWrap w:val="0"/>
            <w:vAlign w:val="center"/>
          </w:tcPr>
          <w:p w14:paraId="025A4AB4">
            <w:pPr>
              <w:spacing w:line="300" w:lineRule="exact"/>
              <w:jc w:val="right"/>
              <w:rPr>
                <w:rFonts w:ascii="方正书宋_GBK" w:eastAsia="方正书宋_GBK"/>
                <w:b/>
              </w:rPr>
            </w:pPr>
            <w:r>
              <w:rPr>
                <w:rFonts w:ascii="方正书宋_GBK" w:eastAsia="方正书宋_GBK"/>
                <w:b/>
              </w:rPr>
              <w:t>70.00</w:t>
            </w:r>
          </w:p>
        </w:tc>
        <w:tc>
          <w:tcPr>
            <w:tcW w:w="330" w:type="pct"/>
            <w:noWrap w:val="0"/>
            <w:vAlign w:val="center"/>
          </w:tcPr>
          <w:p w14:paraId="3852707F">
            <w:pPr>
              <w:spacing w:line="300" w:lineRule="exact"/>
              <w:jc w:val="right"/>
              <w:rPr>
                <w:rFonts w:ascii="方正书宋_GBK" w:eastAsia="方正书宋_GBK"/>
                <w:b/>
              </w:rPr>
            </w:pPr>
            <w:r>
              <w:rPr>
                <w:rFonts w:ascii="方正书宋_GBK" w:eastAsia="方正书宋_GBK"/>
                <w:b/>
              </w:rPr>
              <w:t>70.00</w:t>
            </w:r>
          </w:p>
        </w:tc>
        <w:tc>
          <w:tcPr>
            <w:tcW w:w="330" w:type="pct"/>
            <w:noWrap w:val="0"/>
            <w:vAlign w:val="center"/>
          </w:tcPr>
          <w:p w14:paraId="238543F6">
            <w:pPr>
              <w:spacing w:line="300" w:lineRule="exact"/>
              <w:jc w:val="right"/>
              <w:rPr>
                <w:rFonts w:ascii="方正书宋_GBK" w:eastAsia="方正书宋_GBK"/>
                <w:b/>
              </w:rPr>
            </w:pPr>
          </w:p>
        </w:tc>
        <w:tc>
          <w:tcPr>
            <w:tcW w:w="331" w:type="pct"/>
            <w:noWrap w:val="0"/>
            <w:vAlign w:val="center"/>
          </w:tcPr>
          <w:p w14:paraId="29BB2B66">
            <w:pPr>
              <w:spacing w:line="300" w:lineRule="exact"/>
              <w:jc w:val="right"/>
              <w:rPr>
                <w:rFonts w:ascii="方正书宋_GBK" w:eastAsia="方正书宋_GBK"/>
                <w:b/>
              </w:rPr>
            </w:pPr>
          </w:p>
        </w:tc>
        <w:tc>
          <w:tcPr>
            <w:tcW w:w="331" w:type="pct"/>
            <w:noWrap w:val="0"/>
            <w:vAlign w:val="center"/>
          </w:tcPr>
          <w:p w14:paraId="168FAFE8">
            <w:pPr>
              <w:spacing w:line="300" w:lineRule="exact"/>
              <w:jc w:val="right"/>
              <w:rPr>
                <w:rFonts w:ascii="方正书宋_GBK" w:eastAsia="方正书宋_GBK"/>
                <w:b/>
              </w:rPr>
            </w:pPr>
          </w:p>
        </w:tc>
        <w:tc>
          <w:tcPr>
            <w:tcW w:w="317" w:type="pct"/>
            <w:noWrap w:val="0"/>
            <w:vAlign w:val="center"/>
          </w:tcPr>
          <w:p w14:paraId="1A8146C4">
            <w:pPr>
              <w:spacing w:line="300" w:lineRule="exact"/>
              <w:jc w:val="right"/>
              <w:rPr>
                <w:rFonts w:ascii="方正书宋_GBK" w:eastAsia="方正书宋_GBK"/>
                <w:b/>
              </w:rPr>
            </w:pPr>
          </w:p>
        </w:tc>
      </w:tr>
      <w:tr w14:paraId="4CEFA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Before w:w="0" w:type="dxa"/>
          <w:wAfter w:w="0" w:type="dxa"/>
          <w:jc w:val="center"/>
        </w:trPr>
        <w:tc>
          <w:tcPr>
            <w:tcW w:w="840" w:type="pct"/>
            <w:noWrap w:val="0"/>
            <w:vAlign w:val="center"/>
          </w:tcPr>
          <w:p w14:paraId="6F61F6C2">
            <w:pPr>
              <w:spacing w:line="300" w:lineRule="exact"/>
              <w:jc w:val="left"/>
              <w:rPr>
                <w:rFonts w:hint="eastAsia" w:ascii="方正书宋_GBK" w:eastAsia="方正书宋_GBK"/>
              </w:rPr>
            </w:pPr>
            <w:r>
              <w:rPr>
                <w:rFonts w:hint="eastAsia" w:ascii="方正书宋_GBK" w:eastAsia="方正书宋_GBK"/>
              </w:rPr>
              <w:t>法院信息化建设</w:t>
            </w:r>
          </w:p>
        </w:tc>
        <w:tc>
          <w:tcPr>
            <w:tcW w:w="377" w:type="pct"/>
            <w:noWrap w:val="0"/>
            <w:vAlign w:val="center"/>
          </w:tcPr>
          <w:p w14:paraId="25C68839">
            <w:pPr>
              <w:spacing w:line="300" w:lineRule="exact"/>
              <w:jc w:val="right"/>
              <w:rPr>
                <w:rFonts w:ascii="方正书宋_GBK" w:eastAsia="方正书宋_GBK"/>
              </w:rPr>
            </w:pPr>
            <w:r>
              <w:rPr>
                <w:rFonts w:ascii="方正书宋_GBK" w:eastAsia="方正书宋_GBK"/>
              </w:rPr>
              <w:t>70.00</w:t>
            </w:r>
          </w:p>
        </w:tc>
        <w:tc>
          <w:tcPr>
            <w:tcW w:w="334" w:type="pct"/>
            <w:noWrap w:val="0"/>
            <w:vAlign w:val="center"/>
          </w:tcPr>
          <w:p w14:paraId="15331887">
            <w:pPr>
              <w:spacing w:line="300" w:lineRule="exact"/>
              <w:jc w:val="left"/>
              <w:rPr>
                <w:rFonts w:ascii="方正书宋_GBK" w:eastAsia="方正书宋_GBK"/>
              </w:rPr>
            </w:pPr>
            <w:r>
              <w:rPr>
                <w:rFonts w:hint="eastAsia" w:ascii="方正书宋_GBK" w:eastAsia="方正书宋_GBK"/>
              </w:rPr>
              <w:t>终端设备</w:t>
            </w:r>
          </w:p>
        </w:tc>
        <w:tc>
          <w:tcPr>
            <w:tcW w:w="338" w:type="pct"/>
            <w:noWrap w:val="0"/>
            <w:vAlign w:val="center"/>
          </w:tcPr>
          <w:p w14:paraId="1E66B329">
            <w:pPr>
              <w:spacing w:line="300" w:lineRule="exact"/>
              <w:jc w:val="left"/>
              <w:rPr>
                <w:rFonts w:ascii="方正书宋_GBK" w:eastAsia="方正书宋_GBK"/>
              </w:rPr>
            </w:pPr>
            <w:r>
              <w:rPr>
                <w:rFonts w:ascii="方正书宋_GBK" w:eastAsia="方正书宋_GBK"/>
              </w:rPr>
              <w:t>A020104</w:t>
            </w:r>
          </w:p>
        </w:tc>
        <w:tc>
          <w:tcPr>
            <w:tcW w:w="261" w:type="pct"/>
            <w:noWrap w:val="0"/>
            <w:vAlign w:val="center"/>
          </w:tcPr>
          <w:p w14:paraId="76E1A6A2">
            <w:pPr>
              <w:spacing w:line="300" w:lineRule="exact"/>
              <w:jc w:val="left"/>
              <w:rPr>
                <w:rFonts w:ascii="方正书宋_GBK" w:eastAsia="方正书宋_GBK"/>
              </w:rPr>
            </w:pPr>
          </w:p>
        </w:tc>
        <w:tc>
          <w:tcPr>
            <w:tcW w:w="261" w:type="pct"/>
            <w:noWrap w:val="0"/>
            <w:vAlign w:val="center"/>
          </w:tcPr>
          <w:p w14:paraId="7904AF52">
            <w:pPr>
              <w:spacing w:line="300" w:lineRule="exact"/>
              <w:jc w:val="right"/>
              <w:rPr>
                <w:rFonts w:ascii="方正书宋_GBK" w:eastAsia="方正书宋_GBK"/>
              </w:rPr>
            </w:pPr>
            <w:r>
              <w:rPr>
                <w:rFonts w:ascii="方正书宋_GBK" w:eastAsia="方正书宋_GBK"/>
              </w:rPr>
              <w:t>1.00</w:t>
            </w:r>
          </w:p>
        </w:tc>
        <w:tc>
          <w:tcPr>
            <w:tcW w:w="290" w:type="pct"/>
            <w:noWrap w:val="0"/>
            <w:vAlign w:val="center"/>
          </w:tcPr>
          <w:p w14:paraId="222DFD8A">
            <w:pPr>
              <w:spacing w:line="300" w:lineRule="exact"/>
              <w:jc w:val="right"/>
              <w:rPr>
                <w:rFonts w:ascii="方正书宋_GBK" w:eastAsia="方正书宋_GBK"/>
              </w:rPr>
            </w:pPr>
            <w:r>
              <w:rPr>
                <w:rFonts w:ascii="方正书宋_GBK" w:eastAsia="方正书宋_GBK"/>
              </w:rPr>
              <w:t>70.00</w:t>
            </w:r>
          </w:p>
        </w:tc>
        <w:tc>
          <w:tcPr>
            <w:tcW w:w="330" w:type="pct"/>
            <w:noWrap w:val="0"/>
            <w:vAlign w:val="center"/>
          </w:tcPr>
          <w:p w14:paraId="77195B97">
            <w:pPr>
              <w:spacing w:line="300" w:lineRule="exact"/>
              <w:jc w:val="right"/>
              <w:rPr>
                <w:rFonts w:ascii="方正书宋_GBK" w:eastAsia="方正书宋_GBK"/>
              </w:rPr>
            </w:pPr>
            <w:r>
              <w:rPr>
                <w:rFonts w:ascii="方正书宋_GBK" w:eastAsia="方正书宋_GBK"/>
              </w:rPr>
              <w:t>70.00</w:t>
            </w:r>
          </w:p>
        </w:tc>
        <w:tc>
          <w:tcPr>
            <w:tcW w:w="330" w:type="pct"/>
            <w:noWrap w:val="0"/>
            <w:vAlign w:val="center"/>
          </w:tcPr>
          <w:p w14:paraId="3FD90105">
            <w:pPr>
              <w:spacing w:line="300" w:lineRule="exact"/>
              <w:jc w:val="right"/>
              <w:rPr>
                <w:rFonts w:ascii="方正书宋_GBK" w:eastAsia="方正书宋_GBK"/>
              </w:rPr>
            </w:pPr>
            <w:r>
              <w:rPr>
                <w:rFonts w:ascii="方正书宋_GBK" w:eastAsia="方正书宋_GBK"/>
              </w:rPr>
              <w:t>70.00</w:t>
            </w:r>
          </w:p>
        </w:tc>
        <w:tc>
          <w:tcPr>
            <w:tcW w:w="330" w:type="pct"/>
            <w:noWrap w:val="0"/>
            <w:vAlign w:val="center"/>
          </w:tcPr>
          <w:p w14:paraId="32DA3CBF">
            <w:pPr>
              <w:spacing w:line="300" w:lineRule="exact"/>
              <w:jc w:val="right"/>
              <w:rPr>
                <w:rFonts w:ascii="方正书宋_GBK" w:eastAsia="方正书宋_GBK"/>
              </w:rPr>
            </w:pPr>
            <w:r>
              <w:rPr>
                <w:rFonts w:ascii="方正书宋_GBK" w:eastAsia="方正书宋_GBK"/>
              </w:rPr>
              <w:t>70.00</w:t>
            </w:r>
          </w:p>
        </w:tc>
        <w:tc>
          <w:tcPr>
            <w:tcW w:w="330" w:type="pct"/>
            <w:noWrap w:val="0"/>
            <w:vAlign w:val="center"/>
          </w:tcPr>
          <w:p w14:paraId="74FF4D4C">
            <w:pPr>
              <w:spacing w:line="300" w:lineRule="exact"/>
              <w:jc w:val="right"/>
              <w:rPr>
                <w:rFonts w:ascii="方正书宋_GBK" w:eastAsia="方正书宋_GBK"/>
              </w:rPr>
            </w:pPr>
          </w:p>
        </w:tc>
        <w:tc>
          <w:tcPr>
            <w:tcW w:w="331" w:type="pct"/>
            <w:noWrap w:val="0"/>
            <w:vAlign w:val="center"/>
          </w:tcPr>
          <w:p w14:paraId="3CBD82AB">
            <w:pPr>
              <w:spacing w:line="300" w:lineRule="exact"/>
              <w:jc w:val="right"/>
              <w:rPr>
                <w:rFonts w:ascii="方正书宋_GBK" w:eastAsia="方正书宋_GBK"/>
              </w:rPr>
            </w:pPr>
          </w:p>
        </w:tc>
        <w:tc>
          <w:tcPr>
            <w:tcW w:w="331" w:type="pct"/>
            <w:noWrap w:val="0"/>
            <w:vAlign w:val="center"/>
          </w:tcPr>
          <w:p w14:paraId="0BBFE7BA">
            <w:pPr>
              <w:spacing w:line="300" w:lineRule="exact"/>
              <w:jc w:val="right"/>
              <w:rPr>
                <w:rFonts w:ascii="方正书宋_GBK" w:eastAsia="方正书宋_GBK"/>
              </w:rPr>
            </w:pPr>
          </w:p>
        </w:tc>
        <w:tc>
          <w:tcPr>
            <w:tcW w:w="317" w:type="pct"/>
            <w:noWrap w:val="0"/>
            <w:vAlign w:val="center"/>
          </w:tcPr>
          <w:p w14:paraId="57CC652D">
            <w:pPr>
              <w:spacing w:line="300" w:lineRule="exact"/>
              <w:jc w:val="right"/>
              <w:rPr>
                <w:rFonts w:ascii="方正书宋_GBK" w:eastAsia="方正书宋_GBK"/>
              </w:rPr>
            </w:pPr>
          </w:p>
        </w:tc>
      </w:tr>
    </w:tbl>
    <w:p w14:paraId="1105CDA0">
      <w:pPr>
        <w:spacing w:line="300" w:lineRule="exact"/>
        <w:jc w:val="left"/>
        <w:outlineLvl w:val="0"/>
        <w:sectPr>
          <w:pgSz w:w="16839" w:h="11907" w:orient="landscape"/>
          <w:pgMar w:top="1361" w:right="1020" w:bottom="1361" w:left="1020" w:header="851" w:footer="992" w:gutter="0"/>
          <w:cols w:space="720" w:num="1"/>
          <w:docGrid w:type="lines" w:linePitch="312" w:charSpace="0"/>
        </w:sectPr>
      </w:pPr>
    </w:p>
    <w:p w14:paraId="4A5DC3C3">
      <w:pPr>
        <w:widowControl/>
        <w:ind w:firstLine="630" w:firstLineChars="196"/>
        <w:jc w:val="left"/>
        <w:rPr>
          <w:rFonts w:hint="eastAsia" w:ascii="仿宋" w:hAnsi="仿宋" w:eastAsia="仿宋"/>
          <w:b/>
          <w:kern w:val="0"/>
          <w:sz w:val="32"/>
          <w:szCs w:val="32"/>
          <w:lang/>
        </w:rPr>
      </w:pPr>
      <w:r>
        <w:rPr>
          <w:rFonts w:hint="eastAsia" w:ascii="仿宋" w:hAnsi="仿宋" w:eastAsia="仿宋"/>
          <w:b/>
          <w:kern w:val="0"/>
          <w:sz w:val="32"/>
          <w:szCs w:val="32"/>
          <w:lang/>
        </w:rPr>
        <w:t>七、国有资产信息说明</w:t>
      </w:r>
    </w:p>
    <w:p w14:paraId="30742B05">
      <w:pPr>
        <w:widowControl/>
        <w:ind w:firstLine="1120" w:firstLineChars="350"/>
        <w:jc w:val="left"/>
        <w:rPr>
          <w:rFonts w:hint="eastAsia" w:ascii="仿宋" w:hAnsi="仿宋" w:eastAsia="仿宋"/>
          <w:kern w:val="0"/>
          <w:sz w:val="32"/>
          <w:szCs w:val="32"/>
          <w:lang/>
        </w:rPr>
      </w:pPr>
      <w:r>
        <w:rPr>
          <w:rFonts w:hint="eastAsia" w:ascii="仿宋" w:hAnsi="仿宋" w:eastAsia="仿宋"/>
          <w:kern w:val="0"/>
          <w:sz w:val="32"/>
          <w:szCs w:val="32"/>
          <w:lang/>
        </w:rPr>
        <w:t>2018年末单位固定资产3673.09万元，包含：房屋建筑物4567平米，价值1171.86万元；汽车</w:t>
      </w:r>
      <w:r>
        <w:rPr>
          <w:rFonts w:ascii="仿宋" w:hAnsi="仿宋" w:eastAsia="仿宋"/>
          <w:kern w:val="0"/>
          <w:sz w:val="32"/>
          <w:szCs w:val="32"/>
        </w:rPr>
        <w:t>14</w:t>
      </w:r>
      <w:r>
        <w:rPr>
          <w:rFonts w:hint="eastAsia" w:ascii="仿宋" w:hAnsi="仿宋" w:eastAsia="仿宋"/>
          <w:kern w:val="0"/>
          <w:sz w:val="32"/>
          <w:szCs w:val="32"/>
          <w:lang/>
        </w:rPr>
        <w:t>辆，价值171.50万元；办公设备及其他固定资2329.73万元。2019年我单位</w:t>
      </w:r>
      <w:r>
        <w:rPr>
          <w:rFonts w:hint="eastAsia" w:ascii="仿宋" w:hAnsi="仿宋" w:eastAsia="仿宋"/>
          <w:kern w:val="0"/>
          <w:sz w:val="32"/>
          <w:szCs w:val="32"/>
          <w:lang w:val="en-US" w:eastAsia="zh-CN"/>
        </w:rPr>
        <w:t>拟购置固定资产总额70.00万元,</w:t>
      </w:r>
      <w:r>
        <w:rPr>
          <w:rFonts w:hint="eastAsia" w:ascii="仿宋" w:hAnsi="仿宋" w:eastAsia="仿宋" w:cs="Times New Roman"/>
          <w:kern w:val="0"/>
          <w:sz w:val="32"/>
          <w:szCs w:val="32"/>
        </w:rPr>
        <w:t>已按要求列入政府采购预算，详见政府采购预算表。</w:t>
      </w:r>
    </w:p>
    <w:p w14:paraId="2A9E5D02">
      <w:pPr>
        <w:ind w:firstLine="643" w:firstLineChars="200"/>
        <w:jc w:val="center"/>
        <w:outlineLvl w:val="0"/>
        <w:rPr>
          <w:rFonts w:hint="eastAsia" w:ascii="宋体" w:hAnsi="宋体" w:cs="宋体"/>
          <w:b/>
          <w:bCs/>
          <w:sz w:val="32"/>
          <w:szCs w:val="32"/>
        </w:rPr>
      </w:pPr>
      <w:r>
        <w:rPr>
          <w:rFonts w:hint="eastAsia" w:ascii="宋体" w:hAnsi="宋体" w:cs="宋体"/>
          <w:b/>
          <w:bCs/>
          <w:sz w:val="32"/>
          <w:szCs w:val="32"/>
        </w:rPr>
        <w:t>固定资产占用情况表</w:t>
      </w:r>
    </w:p>
    <w:p w14:paraId="3B68CEDC">
      <w:pPr>
        <w:ind w:firstLine="361" w:firstLineChars="200"/>
        <w:jc w:val="center"/>
        <w:outlineLvl w:val="0"/>
        <w:rPr>
          <w:rFonts w:hint="eastAsia" w:ascii="宋体" w:hAnsi="宋体" w:cs="宋体"/>
          <w:b/>
          <w:bCs/>
          <w:sz w:val="18"/>
          <w:szCs w:val="18"/>
        </w:rPr>
      </w:pPr>
    </w:p>
    <w:p w14:paraId="6D9118A4">
      <w:pPr>
        <w:ind w:firstLine="1365" w:firstLineChars="650"/>
        <w:outlineLvl w:val="0"/>
        <w:rPr>
          <w:rFonts w:hint="eastAsia" w:ascii="Times New Roman" w:hAnsi="Times New Roman"/>
          <w:szCs w:val="24"/>
        </w:rPr>
      </w:pPr>
      <w:r>
        <w:rPr>
          <w:rFonts w:hint="eastAsia" w:ascii="Times New Roman" w:hAnsi="Times New Roman"/>
          <w:szCs w:val="24"/>
        </w:rPr>
        <w:t>编制部门：鹿泉区法院                                                          截止时间：2018年12月31日</w:t>
      </w:r>
    </w:p>
    <w:tbl>
      <w:tblPr>
        <w:tblStyle w:val="8"/>
        <w:tblW w:w="0" w:type="auto"/>
        <w:tblInd w:w="85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02"/>
        <w:gridCol w:w="1485"/>
        <w:gridCol w:w="6870"/>
      </w:tblGrid>
      <w:tr w14:paraId="43F7D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714" w:hRule="atLeast"/>
        </w:trPr>
        <w:tc>
          <w:tcPr>
            <w:tcW w:w="3802" w:type="dxa"/>
            <w:noWrap w:val="0"/>
            <w:vAlign w:val="center"/>
          </w:tcPr>
          <w:p w14:paraId="6B121F65">
            <w:pPr>
              <w:jc w:val="center"/>
              <w:outlineLvl w:val="0"/>
              <w:rPr>
                <w:rFonts w:hint="eastAsia" w:ascii="宋体" w:hAnsi="宋体" w:cs="宋体"/>
                <w:b/>
                <w:bCs/>
                <w:sz w:val="30"/>
                <w:szCs w:val="30"/>
              </w:rPr>
            </w:pPr>
            <w:r>
              <w:rPr>
                <w:rFonts w:hint="eastAsia" w:ascii="宋体" w:hAnsi="宋体" w:cs="宋体"/>
                <w:b/>
                <w:bCs/>
                <w:sz w:val="30"/>
                <w:szCs w:val="30"/>
              </w:rPr>
              <w:t>项目</w:t>
            </w:r>
          </w:p>
        </w:tc>
        <w:tc>
          <w:tcPr>
            <w:tcW w:w="1485" w:type="dxa"/>
            <w:noWrap w:val="0"/>
            <w:vAlign w:val="center"/>
          </w:tcPr>
          <w:p w14:paraId="1EDEBC09">
            <w:pPr>
              <w:jc w:val="center"/>
              <w:outlineLvl w:val="0"/>
              <w:rPr>
                <w:rFonts w:hint="eastAsia" w:ascii="宋体" w:hAnsi="宋体" w:cs="宋体"/>
                <w:b/>
                <w:bCs/>
                <w:sz w:val="30"/>
                <w:szCs w:val="30"/>
              </w:rPr>
            </w:pPr>
            <w:r>
              <w:rPr>
                <w:rFonts w:hint="eastAsia" w:ascii="宋体" w:hAnsi="宋体" w:cs="宋体"/>
                <w:b/>
                <w:bCs/>
                <w:sz w:val="30"/>
                <w:szCs w:val="30"/>
              </w:rPr>
              <w:t>数量</w:t>
            </w:r>
          </w:p>
        </w:tc>
        <w:tc>
          <w:tcPr>
            <w:tcW w:w="6870" w:type="dxa"/>
            <w:noWrap w:val="0"/>
            <w:vAlign w:val="center"/>
          </w:tcPr>
          <w:p w14:paraId="2B883991">
            <w:pPr>
              <w:jc w:val="center"/>
              <w:outlineLvl w:val="0"/>
              <w:rPr>
                <w:rFonts w:hint="eastAsia" w:ascii="宋体" w:hAnsi="宋体" w:cs="宋体"/>
                <w:b/>
                <w:bCs/>
                <w:sz w:val="30"/>
                <w:szCs w:val="30"/>
              </w:rPr>
            </w:pPr>
            <w:r>
              <w:rPr>
                <w:rFonts w:hint="eastAsia" w:ascii="宋体" w:hAnsi="宋体" w:cs="宋体"/>
                <w:b/>
                <w:bCs/>
                <w:sz w:val="30"/>
                <w:szCs w:val="30"/>
              </w:rPr>
              <w:t>价值（金额单位：万元）</w:t>
            </w:r>
          </w:p>
        </w:tc>
      </w:tr>
      <w:tr w14:paraId="2E537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518" w:hRule="atLeast"/>
        </w:trPr>
        <w:tc>
          <w:tcPr>
            <w:tcW w:w="3802" w:type="dxa"/>
            <w:noWrap w:val="0"/>
            <w:vAlign w:val="center"/>
          </w:tcPr>
          <w:p w14:paraId="69361F74">
            <w:pPr>
              <w:jc w:val="center"/>
              <w:outlineLvl w:val="0"/>
              <w:rPr>
                <w:rFonts w:hint="eastAsia" w:ascii="宋体" w:hAnsi="宋体" w:cs="宋体"/>
                <w:sz w:val="28"/>
                <w:szCs w:val="28"/>
              </w:rPr>
            </w:pPr>
            <w:r>
              <w:rPr>
                <w:rFonts w:hint="eastAsia" w:ascii="宋体" w:hAnsi="宋体" w:cs="宋体"/>
                <w:sz w:val="28"/>
                <w:szCs w:val="28"/>
              </w:rPr>
              <w:t>资产总额</w:t>
            </w:r>
          </w:p>
        </w:tc>
        <w:tc>
          <w:tcPr>
            <w:tcW w:w="1485" w:type="dxa"/>
            <w:noWrap w:val="0"/>
            <w:vAlign w:val="center"/>
          </w:tcPr>
          <w:p w14:paraId="72F6C88D">
            <w:pPr>
              <w:jc w:val="center"/>
              <w:outlineLvl w:val="0"/>
              <w:rPr>
                <w:rFonts w:hint="eastAsia" w:ascii="宋体" w:hAnsi="宋体" w:cs="宋体"/>
                <w:sz w:val="28"/>
                <w:szCs w:val="28"/>
              </w:rPr>
            </w:pPr>
            <w:r>
              <w:rPr>
                <w:rFonts w:hint="eastAsia" w:ascii="宋体" w:hAnsi="宋体" w:cs="宋体"/>
                <w:sz w:val="28"/>
                <w:szCs w:val="28"/>
              </w:rPr>
              <w:t>—</w:t>
            </w:r>
          </w:p>
        </w:tc>
        <w:tc>
          <w:tcPr>
            <w:tcW w:w="6870" w:type="dxa"/>
            <w:noWrap w:val="0"/>
            <w:vAlign w:val="center"/>
          </w:tcPr>
          <w:p w14:paraId="7D8E9FD4">
            <w:pPr>
              <w:jc w:val="center"/>
              <w:outlineLvl w:val="0"/>
              <w:rPr>
                <w:rFonts w:hint="eastAsia" w:ascii="宋体" w:hAnsi="宋体" w:cs="宋体"/>
                <w:sz w:val="28"/>
                <w:szCs w:val="28"/>
              </w:rPr>
            </w:pPr>
            <w:r>
              <w:rPr>
                <w:rFonts w:hint="eastAsia" w:ascii="宋体" w:hAnsi="宋体" w:cs="宋体"/>
                <w:sz w:val="28"/>
                <w:szCs w:val="28"/>
              </w:rPr>
              <w:t>3673.09</w:t>
            </w:r>
          </w:p>
        </w:tc>
      </w:tr>
      <w:tr w14:paraId="0ECA1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473" w:hRule="atLeast"/>
        </w:trPr>
        <w:tc>
          <w:tcPr>
            <w:tcW w:w="3802" w:type="dxa"/>
            <w:noWrap w:val="0"/>
            <w:vAlign w:val="center"/>
          </w:tcPr>
          <w:p w14:paraId="6C22E898">
            <w:pPr>
              <w:jc w:val="center"/>
              <w:outlineLvl w:val="0"/>
              <w:rPr>
                <w:rFonts w:hint="eastAsia" w:ascii="宋体" w:hAnsi="宋体" w:cs="宋体"/>
                <w:sz w:val="28"/>
                <w:szCs w:val="28"/>
              </w:rPr>
            </w:pPr>
            <w:r>
              <w:rPr>
                <w:rFonts w:hint="eastAsia" w:ascii="宋体" w:hAnsi="宋体" w:cs="宋体"/>
                <w:sz w:val="28"/>
                <w:szCs w:val="28"/>
              </w:rPr>
              <w:t>1、房屋（平方米）</w:t>
            </w:r>
          </w:p>
        </w:tc>
        <w:tc>
          <w:tcPr>
            <w:tcW w:w="1485" w:type="dxa"/>
            <w:noWrap w:val="0"/>
            <w:vAlign w:val="top"/>
          </w:tcPr>
          <w:p w14:paraId="24A7AE5A">
            <w:pPr>
              <w:jc w:val="center"/>
              <w:rPr>
                <w:rFonts w:hint="eastAsia" w:ascii="仿宋" w:hAnsi="仿宋" w:eastAsia="仿宋"/>
                <w:kern w:val="0"/>
                <w:sz w:val="32"/>
                <w:szCs w:val="32"/>
                <w:lang/>
              </w:rPr>
            </w:pPr>
            <w:r>
              <w:rPr>
                <w:rFonts w:hint="eastAsia" w:ascii="仿宋" w:hAnsi="仿宋" w:eastAsia="仿宋"/>
                <w:kern w:val="0"/>
                <w:sz w:val="32"/>
                <w:szCs w:val="32"/>
                <w:lang/>
              </w:rPr>
              <w:t>4567</w:t>
            </w:r>
          </w:p>
        </w:tc>
        <w:tc>
          <w:tcPr>
            <w:tcW w:w="6870" w:type="dxa"/>
            <w:noWrap w:val="0"/>
            <w:vAlign w:val="top"/>
          </w:tcPr>
          <w:p w14:paraId="78DFECEA">
            <w:pPr>
              <w:jc w:val="center"/>
              <w:rPr>
                <w:rFonts w:hint="eastAsia" w:ascii="仿宋" w:hAnsi="仿宋" w:eastAsia="仿宋"/>
                <w:kern w:val="0"/>
                <w:sz w:val="32"/>
                <w:szCs w:val="32"/>
                <w:lang/>
              </w:rPr>
            </w:pPr>
            <w:r>
              <w:rPr>
                <w:rFonts w:hint="eastAsia" w:ascii="仿宋" w:hAnsi="仿宋" w:eastAsia="仿宋"/>
                <w:kern w:val="0"/>
                <w:sz w:val="32"/>
                <w:szCs w:val="32"/>
                <w:lang/>
              </w:rPr>
              <w:t>1171.86</w:t>
            </w:r>
          </w:p>
        </w:tc>
      </w:tr>
      <w:tr w14:paraId="46CB8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503" w:hRule="atLeast"/>
        </w:trPr>
        <w:tc>
          <w:tcPr>
            <w:tcW w:w="3802" w:type="dxa"/>
            <w:noWrap w:val="0"/>
            <w:vAlign w:val="center"/>
          </w:tcPr>
          <w:p w14:paraId="1307DEEC">
            <w:pPr>
              <w:jc w:val="center"/>
              <w:outlineLvl w:val="0"/>
              <w:rPr>
                <w:rFonts w:hint="eastAsia" w:ascii="宋体" w:hAnsi="宋体" w:cs="宋体"/>
                <w:sz w:val="28"/>
                <w:szCs w:val="28"/>
              </w:rPr>
            </w:pPr>
            <w:r>
              <w:rPr>
                <w:rFonts w:hint="eastAsia" w:ascii="宋体" w:hAnsi="宋体" w:cs="宋体"/>
                <w:sz w:val="28"/>
                <w:szCs w:val="28"/>
              </w:rPr>
              <w:t>其中：办公用房（平方米）</w:t>
            </w:r>
          </w:p>
        </w:tc>
        <w:tc>
          <w:tcPr>
            <w:tcW w:w="1485" w:type="dxa"/>
            <w:noWrap w:val="0"/>
            <w:vAlign w:val="center"/>
          </w:tcPr>
          <w:p w14:paraId="185473E3">
            <w:pPr>
              <w:jc w:val="center"/>
              <w:outlineLvl w:val="0"/>
              <w:rPr>
                <w:rFonts w:hint="eastAsia" w:ascii="宋体" w:hAnsi="宋体" w:cs="宋体"/>
                <w:sz w:val="28"/>
                <w:szCs w:val="28"/>
              </w:rPr>
            </w:pPr>
            <w:r>
              <w:rPr>
                <w:rFonts w:hint="eastAsia" w:ascii="宋体" w:hAnsi="宋体" w:cs="宋体"/>
                <w:sz w:val="28"/>
                <w:szCs w:val="28"/>
              </w:rPr>
              <w:t>4567</w:t>
            </w:r>
          </w:p>
        </w:tc>
        <w:tc>
          <w:tcPr>
            <w:tcW w:w="6870" w:type="dxa"/>
            <w:noWrap w:val="0"/>
            <w:vAlign w:val="center"/>
          </w:tcPr>
          <w:p w14:paraId="6BF1197B">
            <w:pPr>
              <w:jc w:val="center"/>
              <w:outlineLvl w:val="0"/>
              <w:rPr>
                <w:rFonts w:hint="eastAsia" w:ascii="宋体" w:hAnsi="宋体" w:cs="宋体"/>
                <w:sz w:val="28"/>
                <w:szCs w:val="28"/>
              </w:rPr>
            </w:pPr>
            <w:r>
              <w:rPr>
                <w:rFonts w:hint="eastAsia" w:ascii="宋体" w:hAnsi="宋体" w:cs="宋体"/>
                <w:sz w:val="28"/>
                <w:szCs w:val="28"/>
              </w:rPr>
              <w:t>1171.86</w:t>
            </w:r>
          </w:p>
        </w:tc>
      </w:tr>
      <w:tr w14:paraId="48820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548" w:hRule="atLeast"/>
        </w:trPr>
        <w:tc>
          <w:tcPr>
            <w:tcW w:w="3802" w:type="dxa"/>
            <w:noWrap w:val="0"/>
            <w:vAlign w:val="center"/>
          </w:tcPr>
          <w:p w14:paraId="4BFA198D">
            <w:pPr>
              <w:jc w:val="center"/>
              <w:outlineLvl w:val="0"/>
              <w:rPr>
                <w:rFonts w:hint="eastAsia" w:ascii="宋体" w:hAnsi="宋体" w:cs="宋体"/>
                <w:sz w:val="28"/>
                <w:szCs w:val="28"/>
              </w:rPr>
            </w:pPr>
            <w:r>
              <w:rPr>
                <w:rFonts w:hint="eastAsia" w:ascii="宋体" w:hAnsi="宋体" w:cs="宋体"/>
                <w:sz w:val="28"/>
                <w:szCs w:val="28"/>
              </w:rPr>
              <w:t>2、车辆（台、辆）</w:t>
            </w:r>
          </w:p>
        </w:tc>
        <w:tc>
          <w:tcPr>
            <w:tcW w:w="1485" w:type="dxa"/>
            <w:noWrap w:val="0"/>
            <w:vAlign w:val="center"/>
          </w:tcPr>
          <w:p w14:paraId="0B767708">
            <w:pPr>
              <w:jc w:val="center"/>
              <w:outlineLvl w:val="0"/>
              <w:rPr>
                <w:rFonts w:hint="eastAsia" w:ascii="宋体" w:hAnsi="宋体" w:cs="宋体"/>
                <w:sz w:val="28"/>
                <w:szCs w:val="28"/>
              </w:rPr>
            </w:pPr>
            <w:r>
              <w:rPr>
                <w:rFonts w:hint="eastAsia" w:ascii="宋体" w:hAnsi="宋体" w:cs="宋体"/>
                <w:sz w:val="28"/>
                <w:szCs w:val="28"/>
              </w:rPr>
              <w:t>14</w:t>
            </w:r>
          </w:p>
        </w:tc>
        <w:tc>
          <w:tcPr>
            <w:tcW w:w="6870" w:type="dxa"/>
            <w:noWrap w:val="0"/>
            <w:vAlign w:val="center"/>
          </w:tcPr>
          <w:p w14:paraId="0E2EA73C">
            <w:pPr>
              <w:jc w:val="center"/>
              <w:outlineLvl w:val="0"/>
              <w:rPr>
                <w:rFonts w:hint="eastAsia" w:ascii="宋体" w:hAnsi="宋体" w:cs="宋体"/>
                <w:sz w:val="28"/>
                <w:szCs w:val="28"/>
              </w:rPr>
            </w:pPr>
            <w:r>
              <w:rPr>
                <w:rFonts w:hint="eastAsia" w:ascii="宋体" w:hAnsi="宋体" w:cs="宋体"/>
                <w:sz w:val="28"/>
                <w:szCs w:val="28"/>
              </w:rPr>
              <w:t>171.50</w:t>
            </w:r>
          </w:p>
        </w:tc>
      </w:tr>
      <w:tr w14:paraId="7473D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548" w:hRule="atLeast"/>
        </w:trPr>
        <w:tc>
          <w:tcPr>
            <w:tcW w:w="3802" w:type="dxa"/>
            <w:noWrap w:val="0"/>
            <w:vAlign w:val="center"/>
          </w:tcPr>
          <w:p w14:paraId="50DCC471">
            <w:pPr>
              <w:jc w:val="center"/>
              <w:outlineLvl w:val="0"/>
              <w:rPr>
                <w:rFonts w:hint="eastAsia" w:ascii="宋体" w:hAnsi="宋体" w:cs="宋体"/>
                <w:sz w:val="28"/>
                <w:szCs w:val="28"/>
              </w:rPr>
            </w:pPr>
            <w:r>
              <w:rPr>
                <w:rFonts w:hint="eastAsia" w:ascii="宋体" w:hAnsi="宋体" w:cs="宋体"/>
                <w:sz w:val="28"/>
                <w:szCs w:val="28"/>
              </w:rPr>
              <w:t>3、单价在20万元以上的设备</w:t>
            </w:r>
          </w:p>
        </w:tc>
        <w:tc>
          <w:tcPr>
            <w:tcW w:w="1485" w:type="dxa"/>
            <w:noWrap w:val="0"/>
            <w:vAlign w:val="center"/>
          </w:tcPr>
          <w:p w14:paraId="058D49A6">
            <w:pPr>
              <w:jc w:val="center"/>
              <w:outlineLvl w:val="0"/>
              <w:rPr>
                <w:rFonts w:hint="eastAsia" w:ascii="宋体" w:hAnsi="宋体" w:cs="宋体"/>
                <w:sz w:val="28"/>
                <w:szCs w:val="28"/>
              </w:rPr>
            </w:pPr>
            <w:r>
              <w:rPr>
                <w:rFonts w:hint="eastAsia" w:ascii="宋体" w:hAnsi="宋体" w:cs="宋体"/>
                <w:sz w:val="28"/>
                <w:szCs w:val="28"/>
              </w:rPr>
              <w:t>—</w:t>
            </w:r>
          </w:p>
        </w:tc>
        <w:tc>
          <w:tcPr>
            <w:tcW w:w="6870" w:type="dxa"/>
            <w:noWrap w:val="0"/>
            <w:vAlign w:val="center"/>
          </w:tcPr>
          <w:p w14:paraId="4E418F38">
            <w:pPr>
              <w:jc w:val="center"/>
              <w:outlineLvl w:val="0"/>
              <w:rPr>
                <w:rFonts w:hint="eastAsia" w:ascii="宋体" w:hAnsi="宋体" w:cs="宋体"/>
                <w:sz w:val="28"/>
                <w:szCs w:val="28"/>
              </w:rPr>
            </w:pPr>
            <w:r>
              <w:rPr>
                <w:rFonts w:hint="eastAsia" w:ascii="宋体" w:hAnsi="宋体" w:cs="宋体"/>
                <w:sz w:val="28"/>
                <w:szCs w:val="28"/>
              </w:rPr>
              <w:t>—</w:t>
            </w:r>
          </w:p>
        </w:tc>
      </w:tr>
      <w:tr w14:paraId="40566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Before w:w="0" w:type="dxa"/>
          <w:wAfter w:w="0" w:type="dxa"/>
          <w:trHeight w:val="513" w:hRule="atLeast"/>
        </w:trPr>
        <w:tc>
          <w:tcPr>
            <w:tcW w:w="3802" w:type="dxa"/>
            <w:noWrap w:val="0"/>
            <w:vAlign w:val="center"/>
          </w:tcPr>
          <w:p w14:paraId="28B3A7B7">
            <w:pPr>
              <w:jc w:val="center"/>
              <w:outlineLvl w:val="0"/>
              <w:rPr>
                <w:rFonts w:hint="eastAsia" w:ascii="宋体" w:hAnsi="宋体" w:cs="宋体"/>
                <w:sz w:val="28"/>
                <w:szCs w:val="28"/>
              </w:rPr>
            </w:pPr>
            <w:r>
              <w:rPr>
                <w:rFonts w:hint="eastAsia" w:ascii="宋体" w:hAnsi="宋体" w:cs="宋体"/>
                <w:sz w:val="28"/>
                <w:szCs w:val="28"/>
              </w:rPr>
              <w:t>4、其他固定资产</w:t>
            </w:r>
          </w:p>
        </w:tc>
        <w:tc>
          <w:tcPr>
            <w:tcW w:w="1485" w:type="dxa"/>
            <w:noWrap w:val="0"/>
            <w:vAlign w:val="center"/>
          </w:tcPr>
          <w:p w14:paraId="5D32A465">
            <w:pPr>
              <w:jc w:val="center"/>
              <w:outlineLvl w:val="0"/>
              <w:rPr>
                <w:rFonts w:hint="eastAsia" w:ascii="宋体" w:hAnsi="宋体" w:cs="宋体"/>
                <w:sz w:val="28"/>
                <w:szCs w:val="28"/>
              </w:rPr>
            </w:pPr>
            <w:r>
              <w:rPr>
                <w:rFonts w:hint="eastAsia" w:ascii="宋体" w:hAnsi="宋体" w:cs="宋体"/>
                <w:sz w:val="28"/>
                <w:szCs w:val="28"/>
              </w:rPr>
              <w:t>—</w:t>
            </w:r>
          </w:p>
        </w:tc>
        <w:tc>
          <w:tcPr>
            <w:tcW w:w="6870" w:type="dxa"/>
            <w:noWrap w:val="0"/>
            <w:vAlign w:val="center"/>
          </w:tcPr>
          <w:p w14:paraId="7D8ABA72">
            <w:pPr>
              <w:jc w:val="center"/>
              <w:outlineLvl w:val="0"/>
              <w:rPr>
                <w:rFonts w:hint="eastAsia" w:ascii="宋体" w:hAnsi="宋体" w:cs="宋体"/>
                <w:sz w:val="28"/>
                <w:szCs w:val="28"/>
              </w:rPr>
            </w:pPr>
            <w:r>
              <w:rPr>
                <w:rFonts w:hint="eastAsia" w:ascii="宋体" w:hAnsi="宋体" w:cs="宋体"/>
                <w:sz w:val="28"/>
                <w:szCs w:val="28"/>
              </w:rPr>
              <w:t>2329.73</w:t>
            </w:r>
          </w:p>
        </w:tc>
      </w:tr>
    </w:tbl>
    <w:p w14:paraId="53BF1FBD">
      <w:pPr>
        <w:widowControl/>
        <w:ind w:firstLine="640" w:firstLineChars="200"/>
        <w:jc w:val="left"/>
        <w:rPr>
          <w:rFonts w:hint="eastAsia" w:ascii="仿宋" w:hAnsi="仿宋" w:eastAsia="仿宋"/>
          <w:kern w:val="0"/>
          <w:sz w:val="32"/>
          <w:szCs w:val="32"/>
          <w:lang/>
        </w:rPr>
      </w:pPr>
    </w:p>
    <w:p w14:paraId="14709229">
      <w:pPr>
        <w:spacing w:line="300" w:lineRule="exact"/>
        <w:jc w:val="left"/>
        <w:outlineLvl w:val="0"/>
        <w:sectPr>
          <w:pgSz w:w="16839" w:h="11907" w:orient="landscape"/>
          <w:pgMar w:top="1361" w:right="1020" w:bottom="1361" w:left="1020" w:header="851" w:footer="992" w:gutter="0"/>
          <w:cols w:space="720" w:num="1"/>
          <w:docGrid w:type="lines" w:linePitch="312" w:charSpace="0"/>
        </w:sectPr>
      </w:pPr>
    </w:p>
    <w:p w14:paraId="49834150">
      <w:pPr>
        <w:spacing w:line="300" w:lineRule="exact"/>
        <w:jc w:val="left"/>
        <w:outlineLvl w:val="0"/>
      </w:pPr>
    </w:p>
    <w:p w14:paraId="45B53B75">
      <w:pPr>
        <w:widowControl/>
        <w:ind w:firstLine="630" w:firstLineChars="196"/>
        <w:rPr>
          <w:rFonts w:hint="eastAsia" w:ascii="仿宋" w:hAnsi="仿宋" w:eastAsia="仿宋"/>
          <w:b/>
          <w:kern w:val="0"/>
          <w:sz w:val="32"/>
          <w:szCs w:val="32"/>
          <w:lang/>
        </w:rPr>
      </w:pPr>
      <w:r>
        <w:rPr>
          <w:rFonts w:hint="eastAsia" w:ascii="仿宋" w:hAnsi="仿宋" w:eastAsia="仿宋"/>
          <w:b/>
          <w:kern w:val="0"/>
          <w:sz w:val="32"/>
          <w:szCs w:val="32"/>
          <w:lang/>
        </w:rPr>
        <w:t>八、名词解释</w:t>
      </w:r>
    </w:p>
    <w:p w14:paraId="19A5941B">
      <w:pPr>
        <w:widowControl/>
        <w:ind w:firstLine="1120" w:firstLineChars="350"/>
        <w:jc w:val="left"/>
        <w:rPr>
          <w:rFonts w:hint="eastAsia" w:ascii="仿宋" w:hAnsi="仿宋" w:eastAsia="仿宋" w:cs="Times New Roman"/>
          <w:kern w:val="0"/>
          <w:sz w:val="32"/>
          <w:szCs w:val="32"/>
        </w:rPr>
      </w:pPr>
      <w:r>
        <w:rPr>
          <w:rFonts w:hint="eastAsia" w:ascii="仿宋" w:hAnsi="仿宋" w:eastAsia="仿宋" w:cs="Times New Roman"/>
          <w:kern w:val="0"/>
          <w:sz w:val="32"/>
          <w:szCs w:val="32"/>
        </w:rPr>
        <w:t>1、</w:t>
      </w:r>
      <w:r>
        <w:rPr>
          <w:rFonts w:hint="eastAsia" w:ascii="仿宋" w:hAnsi="仿宋" w:eastAsia="仿宋" w:cs="Times New Roman"/>
          <w:b/>
          <w:bCs/>
          <w:kern w:val="0"/>
          <w:sz w:val="32"/>
          <w:szCs w:val="32"/>
        </w:rPr>
        <w:t>一般公共预算拨款收入</w:t>
      </w:r>
      <w:r>
        <w:rPr>
          <w:rFonts w:hint="eastAsia" w:ascii="仿宋" w:hAnsi="仿宋" w:eastAsia="仿宋" w:cs="Times New Roman"/>
          <w:kern w:val="0"/>
          <w:sz w:val="32"/>
          <w:szCs w:val="32"/>
        </w:rPr>
        <w:t>：指</w:t>
      </w:r>
      <w:r>
        <w:rPr>
          <w:rFonts w:hint="eastAsia" w:ascii="仿宋" w:hAnsi="仿宋" w:eastAsia="仿宋" w:cs="Times New Roman"/>
          <w:kern w:val="0"/>
          <w:sz w:val="32"/>
          <w:szCs w:val="32"/>
          <w:lang w:val="en-US" w:eastAsia="zh-CN"/>
        </w:rPr>
        <w:t>区</w:t>
      </w:r>
      <w:r>
        <w:rPr>
          <w:rFonts w:hint="eastAsia" w:ascii="仿宋" w:hAnsi="仿宋" w:eastAsia="仿宋" w:cs="Times New Roman"/>
          <w:kern w:val="0"/>
          <w:sz w:val="32"/>
          <w:szCs w:val="32"/>
        </w:rPr>
        <w:t>级财政当年拨付的资金。</w:t>
      </w:r>
    </w:p>
    <w:p w14:paraId="301804CE">
      <w:pPr>
        <w:widowControl/>
        <w:ind w:firstLine="1120" w:firstLineChars="350"/>
        <w:jc w:val="left"/>
        <w:rPr>
          <w:rFonts w:hint="eastAsia" w:ascii="仿宋" w:hAnsi="仿宋" w:eastAsia="仿宋" w:cs="Times New Roman"/>
          <w:kern w:val="0"/>
          <w:sz w:val="32"/>
          <w:szCs w:val="32"/>
        </w:rPr>
      </w:pPr>
      <w:r>
        <w:rPr>
          <w:rFonts w:hint="eastAsia" w:ascii="仿宋" w:hAnsi="仿宋" w:eastAsia="仿宋" w:cs="Times New Roman"/>
          <w:kern w:val="0"/>
          <w:sz w:val="32"/>
          <w:szCs w:val="32"/>
        </w:rPr>
        <w:t>2、</w:t>
      </w:r>
      <w:r>
        <w:rPr>
          <w:rFonts w:hint="eastAsia" w:ascii="仿宋" w:hAnsi="仿宋" w:eastAsia="仿宋" w:cs="Times New Roman"/>
          <w:b/>
          <w:bCs/>
          <w:kern w:val="0"/>
          <w:sz w:val="32"/>
          <w:szCs w:val="32"/>
        </w:rPr>
        <w:t>事业收入</w:t>
      </w:r>
      <w:r>
        <w:rPr>
          <w:rFonts w:hint="eastAsia" w:ascii="仿宋" w:hAnsi="仿宋" w:eastAsia="仿宋" w:cs="Times New Roman"/>
          <w:kern w:val="0"/>
          <w:sz w:val="32"/>
          <w:szCs w:val="32"/>
        </w:rPr>
        <w:t>：指事业单位开展专业业务活动及辅助活动所取得的收入。</w:t>
      </w:r>
    </w:p>
    <w:p w14:paraId="04319A1D">
      <w:pPr>
        <w:widowControl/>
        <w:ind w:firstLine="1120" w:firstLineChars="350"/>
        <w:jc w:val="left"/>
        <w:rPr>
          <w:rFonts w:hint="eastAsia" w:ascii="仿宋" w:hAnsi="仿宋" w:eastAsia="仿宋" w:cs="Times New Roman"/>
          <w:kern w:val="0"/>
          <w:sz w:val="32"/>
          <w:szCs w:val="32"/>
        </w:rPr>
      </w:pPr>
      <w:r>
        <w:rPr>
          <w:rFonts w:hint="eastAsia" w:ascii="仿宋" w:hAnsi="仿宋" w:eastAsia="仿宋" w:cs="Times New Roman"/>
          <w:kern w:val="0"/>
          <w:sz w:val="32"/>
          <w:szCs w:val="32"/>
        </w:rPr>
        <w:t>3、</w:t>
      </w:r>
      <w:r>
        <w:rPr>
          <w:rFonts w:hint="eastAsia" w:ascii="仿宋" w:hAnsi="仿宋" w:eastAsia="仿宋" w:cs="Times New Roman"/>
          <w:b/>
          <w:bCs/>
          <w:kern w:val="0"/>
          <w:sz w:val="32"/>
          <w:szCs w:val="32"/>
        </w:rPr>
        <w:t>其他收入</w:t>
      </w:r>
      <w:r>
        <w:rPr>
          <w:rFonts w:hint="eastAsia" w:ascii="仿宋" w:hAnsi="仿宋" w:eastAsia="仿宋" w:cs="Times New Roman"/>
          <w:kern w:val="0"/>
          <w:sz w:val="32"/>
          <w:szCs w:val="32"/>
        </w:rPr>
        <w:t>：指除</w:t>
      </w:r>
      <w:r>
        <w:rPr>
          <w:rFonts w:hint="cs" w:ascii="仿宋" w:hAnsi="仿宋" w:eastAsia="仿宋" w:cs="Times New Roman"/>
          <w:kern w:val="0"/>
          <w:sz w:val="32"/>
          <w:szCs w:val="32"/>
          <w:cs/>
        </w:rPr>
        <w:t>“</w:t>
      </w:r>
      <w:r>
        <w:rPr>
          <w:rFonts w:hint="eastAsia" w:ascii="仿宋" w:hAnsi="仿宋" w:eastAsia="仿宋" w:cs="Times New Roman"/>
          <w:kern w:val="0"/>
          <w:sz w:val="32"/>
          <w:szCs w:val="32"/>
        </w:rPr>
        <w:t>一般公共预算拨款收入</w:t>
      </w:r>
      <w:r>
        <w:rPr>
          <w:rFonts w:hint="cs" w:ascii="仿宋" w:hAnsi="仿宋" w:eastAsia="仿宋" w:cs="Times New Roman"/>
          <w:kern w:val="0"/>
          <w:sz w:val="32"/>
          <w:szCs w:val="32"/>
          <w:cs/>
        </w:rPr>
        <w:t>”</w:t>
      </w:r>
      <w:r>
        <w:rPr>
          <w:rFonts w:hint="eastAsia" w:ascii="仿宋" w:hAnsi="仿宋" w:eastAsia="仿宋" w:cs="Times New Roman"/>
          <w:kern w:val="0"/>
          <w:sz w:val="32"/>
          <w:szCs w:val="32"/>
        </w:rPr>
        <w:t>、</w:t>
      </w:r>
      <w:r>
        <w:rPr>
          <w:rFonts w:hint="cs" w:ascii="仿宋" w:hAnsi="仿宋" w:eastAsia="仿宋" w:cs="Times New Roman"/>
          <w:kern w:val="0"/>
          <w:sz w:val="32"/>
          <w:szCs w:val="32"/>
          <w:cs/>
        </w:rPr>
        <w:t>“</w:t>
      </w:r>
      <w:r>
        <w:rPr>
          <w:rFonts w:hint="eastAsia" w:ascii="仿宋" w:hAnsi="仿宋" w:eastAsia="仿宋" w:cs="Times New Roman"/>
          <w:kern w:val="0"/>
          <w:sz w:val="32"/>
          <w:szCs w:val="32"/>
        </w:rPr>
        <w:t>事业收入</w:t>
      </w:r>
      <w:r>
        <w:rPr>
          <w:rFonts w:hint="cs" w:ascii="仿宋" w:hAnsi="仿宋" w:eastAsia="仿宋" w:cs="Times New Roman"/>
          <w:kern w:val="0"/>
          <w:sz w:val="32"/>
          <w:szCs w:val="32"/>
          <w:cs/>
        </w:rPr>
        <w:t>”</w:t>
      </w:r>
      <w:r>
        <w:rPr>
          <w:rFonts w:hint="eastAsia" w:ascii="仿宋" w:hAnsi="仿宋" w:eastAsia="仿宋" w:cs="Times New Roman"/>
          <w:kern w:val="0"/>
          <w:sz w:val="32"/>
          <w:szCs w:val="32"/>
        </w:rPr>
        <w:t>等以外的收入。主要是按规定动用的租房收入、存款利息收入等。</w:t>
      </w:r>
    </w:p>
    <w:p w14:paraId="3B6AA154">
      <w:pPr>
        <w:widowControl/>
        <w:ind w:firstLine="1120" w:firstLineChars="350"/>
        <w:jc w:val="left"/>
        <w:rPr>
          <w:rFonts w:hint="eastAsia" w:ascii="仿宋" w:hAnsi="仿宋" w:eastAsia="仿宋" w:cs="Times New Roman"/>
          <w:kern w:val="0"/>
          <w:sz w:val="32"/>
          <w:szCs w:val="32"/>
        </w:rPr>
      </w:pPr>
      <w:r>
        <w:rPr>
          <w:rFonts w:hint="eastAsia" w:ascii="仿宋" w:hAnsi="仿宋" w:eastAsia="仿宋" w:cs="Times New Roman"/>
          <w:kern w:val="0"/>
          <w:sz w:val="32"/>
          <w:szCs w:val="32"/>
        </w:rPr>
        <w:t>4、</w:t>
      </w:r>
      <w:r>
        <w:rPr>
          <w:rFonts w:hint="eastAsia" w:ascii="仿宋" w:hAnsi="仿宋" w:eastAsia="仿宋" w:cs="Times New Roman"/>
          <w:b/>
          <w:bCs/>
          <w:kern w:val="0"/>
          <w:sz w:val="32"/>
          <w:szCs w:val="32"/>
        </w:rPr>
        <w:t>基本支出</w:t>
      </w:r>
      <w:r>
        <w:rPr>
          <w:rFonts w:hint="eastAsia" w:ascii="仿宋" w:hAnsi="仿宋" w:eastAsia="仿宋" w:cs="Times New Roman"/>
          <w:kern w:val="0"/>
          <w:sz w:val="32"/>
          <w:szCs w:val="32"/>
        </w:rPr>
        <w:t>：指为保障机构正常运转、完成日常工作任务而发生的人员支出和公用支出。</w:t>
      </w:r>
    </w:p>
    <w:p w14:paraId="32D0B12A">
      <w:pPr>
        <w:widowControl/>
        <w:ind w:firstLine="1120" w:firstLineChars="350"/>
        <w:jc w:val="left"/>
        <w:rPr>
          <w:rFonts w:hint="eastAsia" w:ascii="仿宋" w:hAnsi="仿宋" w:eastAsia="仿宋" w:cs="Times New Roman"/>
          <w:kern w:val="0"/>
          <w:sz w:val="32"/>
          <w:szCs w:val="32"/>
        </w:rPr>
      </w:pPr>
      <w:r>
        <w:rPr>
          <w:rFonts w:hint="eastAsia" w:ascii="仿宋" w:hAnsi="仿宋" w:eastAsia="仿宋" w:cs="Times New Roman"/>
          <w:kern w:val="0"/>
          <w:sz w:val="32"/>
          <w:szCs w:val="32"/>
        </w:rPr>
        <w:t>5、</w:t>
      </w:r>
      <w:r>
        <w:rPr>
          <w:rFonts w:hint="eastAsia" w:ascii="仿宋" w:hAnsi="仿宋" w:eastAsia="仿宋" w:cs="Times New Roman"/>
          <w:b/>
          <w:bCs/>
          <w:kern w:val="0"/>
          <w:sz w:val="32"/>
          <w:szCs w:val="32"/>
        </w:rPr>
        <w:t>项目支出</w:t>
      </w:r>
      <w:r>
        <w:rPr>
          <w:rFonts w:hint="eastAsia" w:ascii="仿宋" w:hAnsi="仿宋" w:eastAsia="仿宋" w:cs="Times New Roman"/>
          <w:kern w:val="0"/>
          <w:sz w:val="32"/>
          <w:szCs w:val="32"/>
        </w:rPr>
        <w:t>：指在基本支出之外为完成特定行政任务和事业发展目标所发生的支出。</w:t>
      </w:r>
    </w:p>
    <w:p w14:paraId="5CB967B7">
      <w:pPr>
        <w:widowControl/>
        <w:ind w:firstLine="1120" w:firstLineChars="350"/>
        <w:jc w:val="left"/>
        <w:rPr>
          <w:rFonts w:hint="eastAsia" w:ascii="仿宋" w:hAnsi="仿宋" w:eastAsia="仿宋" w:cs="Times New Roman"/>
          <w:kern w:val="0"/>
          <w:sz w:val="32"/>
          <w:szCs w:val="32"/>
        </w:rPr>
      </w:pPr>
      <w:r>
        <w:rPr>
          <w:rFonts w:hint="eastAsia" w:ascii="仿宋" w:hAnsi="仿宋" w:eastAsia="仿宋" w:cs="Times New Roman"/>
          <w:kern w:val="0"/>
          <w:sz w:val="32"/>
          <w:szCs w:val="32"/>
        </w:rPr>
        <w:t>6、</w:t>
      </w:r>
      <w:r>
        <w:rPr>
          <w:rFonts w:hint="eastAsia" w:ascii="仿宋" w:hAnsi="仿宋" w:eastAsia="仿宋" w:cs="Times New Roman"/>
          <w:b/>
          <w:bCs/>
          <w:kern w:val="0"/>
          <w:sz w:val="32"/>
          <w:szCs w:val="32"/>
        </w:rPr>
        <w:t>上缴上级支出</w:t>
      </w:r>
      <w:r>
        <w:rPr>
          <w:rFonts w:hint="eastAsia" w:ascii="仿宋" w:hAnsi="仿宋" w:eastAsia="仿宋" w:cs="Times New Roman"/>
          <w:kern w:val="0"/>
          <w:sz w:val="32"/>
          <w:szCs w:val="32"/>
        </w:rPr>
        <w:t>：指下级单位上缴上级的支出。</w:t>
      </w:r>
    </w:p>
    <w:p w14:paraId="077465CF">
      <w:pPr>
        <w:widowControl/>
        <w:ind w:firstLine="1120" w:firstLineChars="350"/>
        <w:jc w:val="left"/>
        <w:rPr>
          <w:rFonts w:hint="eastAsia" w:ascii="仿宋" w:hAnsi="仿宋" w:eastAsia="仿宋" w:cs="Times New Roman"/>
          <w:kern w:val="0"/>
          <w:sz w:val="32"/>
          <w:szCs w:val="32"/>
        </w:rPr>
      </w:pPr>
      <w:r>
        <w:rPr>
          <w:rFonts w:hint="eastAsia" w:ascii="仿宋" w:hAnsi="仿宋" w:eastAsia="仿宋" w:cs="Times New Roman"/>
          <w:kern w:val="0"/>
          <w:sz w:val="32"/>
          <w:szCs w:val="32"/>
        </w:rPr>
        <w:t>7、</w:t>
      </w:r>
      <w:r>
        <w:rPr>
          <w:rFonts w:hint="cs" w:ascii="仿宋" w:hAnsi="仿宋" w:eastAsia="仿宋" w:cs="Times New Roman"/>
          <w:b/>
          <w:bCs/>
          <w:kern w:val="0"/>
          <w:sz w:val="32"/>
          <w:szCs w:val="32"/>
          <w:cs/>
        </w:rPr>
        <w:t>“</w:t>
      </w:r>
      <w:r>
        <w:rPr>
          <w:rFonts w:hint="eastAsia" w:ascii="仿宋" w:hAnsi="仿宋" w:eastAsia="仿宋" w:cs="Times New Roman"/>
          <w:b/>
          <w:bCs/>
          <w:kern w:val="0"/>
          <w:sz w:val="32"/>
          <w:szCs w:val="32"/>
        </w:rPr>
        <w:t>三公</w:t>
      </w:r>
      <w:r>
        <w:rPr>
          <w:rFonts w:hint="cs" w:ascii="仿宋" w:hAnsi="仿宋" w:eastAsia="仿宋" w:cs="Times New Roman"/>
          <w:b/>
          <w:bCs/>
          <w:kern w:val="0"/>
          <w:sz w:val="32"/>
          <w:szCs w:val="32"/>
          <w:cs/>
        </w:rPr>
        <w:t>”</w:t>
      </w:r>
      <w:r>
        <w:rPr>
          <w:rFonts w:hint="eastAsia" w:ascii="仿宋" w:hAnsi="仿宋" w:eastAsia="仿宋" w:cs="Times New Roman"/>
          <w:b/>
          <w:bCs/>
          <w:kern w:val="0"/>
          <w:sz w:val="32"/>
          <w:szCs w:val="32"/>
        </w:rPr>
        <w:t>经费</w:t>
      </w:r>
      <w:r>
        <w:rPr>
          <w:rFonts w:hint="eastAsia" w:ascii="仿宋" w:hAnsi="仿宋" w:eastAsia="仿宋" w:cs="Times New Roman"/>
          <w:kern w:val="0"/>
          <w:sz w:val="32"/>
          <w:szCs w:val="32"/>
        </w:rPr>
        <w:t>：纳入</w:t>
      </w:r>
      <w:r>
        <w:rPr>
          <w:rFonts w:hint="eastAsia" w:ascii="仿宋" w:hAnsi="仿宋" w:eastAsia="仿宋" w:cs="Times New Roman"/>
          <w:kern w:val="0"/>
          <w:sz w:val="32"/>
          <w:szCs w:val="32"/>
          <w:lang w:val="en-US" w:eastAsia="zh-CN"/>
        </w:rPr>
        <w:t>区</w:t>
      </w:r>
      <w:r>
        <w:rPr>
          <w:rFonts w:hint="eastAsia" w:ascii="仿宋" w:hAnsi="仿宋" w:eastAsia="仿宋" w:cs="Times New Roman"/>
          <w:kern w:val="0"/>
          <w:sz w:val="32"/>
          <w:szCs w:val="32"/>
        </w:rPr>
        <w:t>级财政预算管理的</w:t>
      </w:r>
      <w:r>
        <w:rPr>
          <w:rFonts w:hint="cs" w:ascii="仿宋" w:hAnsi="仿宋" w:eastAsia="仿宋" w:cs="Times New Roman"/>
          <w:kern w:val="0"/>
          <w:sz w:val="32"/>
          <w:szCs w:val="32"/>
          <w:cs/>
        </w:rPr>
        <w:t>“</w:t>
      </w:r>
      <w:r>
        <w:rPr>
          <w:rFonts w:hint="eastAsia" w:ascii="仿宋" w:hAnsi="仿宋" w:eastAsia="仿宋" w:cs="Times New Roman"/>
          <w:kern w:val="0"/>
          <w:sz w:val="32"/>
          <w:szCs w:val="32"/>
        </w:rPr>
        <w:t>三公</w:t>
      </w:r>
      <w:r>
        <w:rPr>
          <w:rFonts w:hint="cs" w:ascii="仿宋" w:hAnsi="仿宋" w:eastAsia="仿宋" w:cs="Times New Roman"/>
          <w:kern w:val="0"/>
          <w:sz w:val="32"/>
          <w:szCs w:val="32"/>
          <w:cs/>
        </w:rPr>
        <w:t>”</w:t>
      </w:r>
      <w:r>
        <w:rPr>
          <w:rFonts w:hint="eastAsia" w:ascii="仿宋" w:hAnsi="仿宋" w:eastAsia="仿宋" w:cs="Times New Roman"/>
          <w:kern w:val="0"/>
          <w:sz w:val="32"/>
          <w:szCs w:val="32"/>
        </w:rPr>
        <w:t>经费，是指</w:t>
      </w:r>
      <w:r>
        <w:rPr>
          <w:rFonts w:hint="eastAsia" w:ascii="仿宋" w:hAnsi="仿宋" w:eastAsia="仿宋" w:cs="Times New Roman"/>
          <w:kern w:val="0"/>
          <w:sz w:val="32"/>
          <w:szCs w:val="32"/>
          <w:lang w:val="en-US" w:eastAsia="zh-CN"/>
        </w:rPr>
        <w:t>区</w:t>
      </w:r>
      <w:r>
        <w:rPr>
          <w:rFonts w:hint="eastAsia" w:ascii="仿宋" w:hAnsi="仿宋" w:eastAsia="仿宋" w:cs="Times New Roman"/>
          <w:kern w:val="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7D220CF">
      <w:pPr>
        <w:widowControl/>
        <w:ind w:firstLine="1120" w:firstLineChars="350"/>
        <w:jc w:val="left"/>
        <w:rPr>
          <w:rFonts w:hint="eastAsia" w:ascii="仿宋" w:hAnsi="仿宋" w:eastAsia="仿宋" w:cs="Times New Roman"/>
          <w:kern w:val="0"/>
          <w:sz w:val="32"/>
          <w:szCs w:val="32"/>
        </w:rPr>
      </w:pPr>
      <w:r>
        <w:rPr>
          <w:rFonts w:hint="eastAsia" w:ascii="仿宋" w:hAnsi="仿宋" w:eastAsia="仿宋" w:cs="Times New Roman"/>
          <w:kern w:val="0"/>
          <w:sz w:val="32"/>
          <w:szCs w:val="32"/>
        </w:rPr>
        <w:t>8、</w:t>
      </w:r>
      <w:r>
        <w:rPr>
          <w:rFonts w:hint="eastAsia" w:ascii="仿宋" w:hAnsi="仿宋" w:eastAsia="仿宋" w:cs="Times New Roman"/>
          <w:b/>
          <w:bCs/>
          <w:kern w:val="0"/>
          <w:sz w:val="32"/>
          <w:szCs w:val="32"/>
        </w:rPr>
        <w:t>机关运行费</w:t>
      </w:r>
      <w:r>
        <w:rPr>
          <w:rFonts w:hint="eastAsia" w:ascii="仿宋" w:hAnsi="仿宋" w:eastAsia="仿宋" w:cs="Times New Roman"/>
          <w:kern w:val="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86C0C1B">
      <w:pPr>
        <w:widowControl/>
        <w:ind w:firstLine="1120" w:firstLineChars="350"/>
        <w:jc w:val="left"/>
        <w:rPr>
          <w:rFonts w:hint="eastAsia" w:ascii="仿宋" w:hAnsi="仿宋" w:eastAsia="仿宋" w:cs="Times New Roman"/>
          <w:kern w:val="0"/>
          <w:sz w:val="32"/>
          <w:szCs w:val="32"/>
        </w:rPr>
      </w:pPr>
      <w:r>
        <w:rPr>
          <w:rFonts w:hint="eastAsia" w:ascii="仿宋" w:hAnsi="仿宋" w:eastAsia="仿宋" w:cs="Times New Roman"/>
          <w:kern w:val="0"/>
          <w:sz w:val="32"/>
          <w:szCs w:val="32"/>
        </w:rPr>
        <w:t>9、</w:t>
      </w:r>
      <w:r>
        <w:rPr>
          <w:rFonts w:hint="eastAsia" w:ascii="仿宋" w:hAnsi="仿宋" w:eastAsia="仿宋" w:cs="Times New Roman"/>
          <w:b/>
          <w:bCs/>
          <w:kern w:val="0"/>
          <w:sz w:val="32"/>
          <w:szCs w:val="32"/>
        </w:rPr>
        <w:t>上年结转</w:t>
      </w:r>
      <w:r>
        <w:rPr>
          <w:rFonts w:hint="eastAsia" w:ascii="仿宋" w:hAnsi="仿宋" w:eastAsia="仿宋" w:cs="Times New Roman"/>
          <w:kern w:val="0"/>
          <w:sz w:val="32"/>
          <w:szCs w:val="32"/>
        </w:rPr>
        <w:t>：指以前年度尚未完成、结转到本年仍按原规定用途继续使用的资金。</w:t>
      </w:r>
    </w:p>
    <w:p w14:paraId="41CF24E5">
      <w:pPr>
        <w:widowControl/>
        <w:ind w:firstLine="1120" w:firstLineChars="350"/>
        <w:jc w:val="left"/>
        <w:rPr>
          <w:rFonts w:hint="eastAsia" w:ascii="Times New Roman" w:hAnsi="宋体"/>
          <w:sz w:val="28"/>
        </w:rPr>
      </w:pPr>
      <w:r>
        <w:rPr>
          <w:rFonts w:hint="eastAsia" w:ascii="仿宋" w:hAnsi="仿宋" w:eastAsia="仿宋" w:cs="Times New Roman"/>
          <w:kern w:val="0"/>
          <w:sz w:val="32"/>
          <w:szCs w:val="32"/>
        </w:rPr>
        <w:t>10、</w:t>
      </w:r>
      <w:r>
        <w:rPr>
          <w:rFonts w:hint="eastAsia" w:ascii="仿宋" w:hAnsi="仿宋" w:eastAsia="仿宋" w:cs="Times New Roman"/>
          <w:b/>
          <w:bCs/>
          <w:kern w:val="0"/>
          <w:sz w:val="32"/>
          <w:szCs w:val="32"/>
        </w:rPr>
        <w:t>事业单位经营支出</w:t>
      </w:r>
      <w:r>
        <w:rPr>
          <w:rFonts w:hint="eastAsia" w:ascii="仿宋" w:hAnsi="仿宋" w:eastAsia="仿宋" w:cs="Times New Roman"/>
          <w:kern w:val="0"/>
          <w:sz w:val="32"/>
          <w:szCs w:val="32"/>
        </w:rPr>
        <w:t>：指事业单位在专业业务活动及其辅助活动之外开展非独立核算经营活动发生的支出。</w:t>
      </w:r>
    </w:p>
    <w:p w14:paraId="05B5C9B9">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40354C4C">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p w14:paraId="3B140110">
      <w:pPr>
        <w:jc w:val="center"/>
        <w:outlineLvl w:val="0"/>
        <w:rPr>
          <w:rFonts w:hint="eastAsia" w:ascii="仿宋" w:hAnsi="仿宋" w:eastAsia="仿宋"/>
          <w:sz w:val="44"/>
          <w:szCs w:val="44"/>
        </w:rPr>
      </w:pPr>
    </w:p>
    <w:p w14:paraId="1F3BBAD9">
      <w:pPr>
        <w:jc w:val="center"/>
        <w:outlineLvl w:val="0"/>
        <w:rPr>
          <w:rFonts w:hint="eastAsia" w:ascii="仿宋" w:hAnsi="仿宋" w:eastAsia="仿宋"/>
          <w:sz w:val="44"/>
          <w:szCs w:val="44"/>
        </w:rPr>
      </w:pPr>
    </w:p>
    <w:sectPr>
      <w:pgSz w:w="16839" w:h="11907" w:orient="landscape"/>
      <w:pgMar w:top="1134" w:right="1020" w:bottom="1134" w:left="102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CB3E8">
    <w:pPr>
      <w:pStyle w:val="3"/>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separate"/>
    </w:r>
    <w:r>
      <w:rPr>
        <w:rStyle w:val="10"/>
        <w:lang/>
      </w:rPr>
      <w:t>2</w:t>
    </w:r>
    <w:r>
      <w:rPr>
        <w:rStyle w:val="10"/>
      </w:rPr>
      <w:fldChar w:fldCharType="end"/>
    </w:r>
  </w:p>
  <w:p w14:paraId="610D9F34">
    <w:pPr>
      <w:pStyle w:val="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footnote>
  <w:footnote w:type="continuationSeparator" w:id="3">
    <w:p/>
  </w:footnote>
  <w:footnote w:id="0">
    <w:p w14:paraId="6DA19C3C">
      <w:pPr>
        <w:pStyle w:val="6"/>
        <w:rPr>
          <w:rFonts w:hint="eastAsia"/>
        </w:rPr>
      </w:pPr>
      <w:r>
        <w:rPr>
          <w:rStyle w:val="12"/>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9430DC"/>
    <w:multiLevelType w:val="singleLevel"/>
    <w:tmpl w:val="909430DC"/>
    <w:lvl w:ilvl="0" w:tentative="0">
      <w:start w:val="2"/>
      <w:numFmt w:val="chineseCounting"/>
      <w:suff w:val="space"/>
      <w:lvlText w:val="%1、"/>
      <w:lvlJc w:val="left"/>
      <w:pPr>
        <w:ind w:left="420" w:firstLine="0"/>
      </w:pPr>
      <w:rPr>
        <w:rFonts w:hint="eastAsia"/>
      </w:rPr>
    </w:lvl>
  </w:abstractNum>
  <w:abstractNum w:abstractNumId="1">
    <w:nsid w:val="100EA037"/>
    <w:multiLevelType w:val="singleLevel"/>
    <w:tmpl w:val="100EA037"/>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HorizontalSpacing w:val="105"/>
  <w:drawingGridVerticalSpacing w:val="156"/>
  <w:displayHorizontalDrawingGridEvery w:val="0"/>
  <w:displayVerticalDrawingGridEvery w:val="2"/>
  <w:characterSpacingControl w:val="compressPunctuation"/>
  <w:footnotePr>
    <w:footnote w:id="2"/>
    <w:footnote w:id="3"/>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785E"/>
    <w:rsid w:val="00131FF0"/>
    <w:rsid w:val="00250404"/>
    <w:rsid w:val="002C4EBF"/>
    <w:rsid w:val="0035205A"/>
    <w:rsid w:val="00363331"/>
    <w:rsid w:val="003825A6"/>
    <w:rsid w:val="00452F7F"/>
    <w:rsid w:val="004F6F5F"/>
    <w:rsid w:val="00574191"/>
    <w:rsid w:val="005B0944"/>
    <w:rsid w:val="005B3052"/>
    <w:rsid w:val="005D350A"/>
    <w:rsid w:val="00627C4E"/>
    <w:rsid w:val="006C2E2E"/>
    <w:rsid w:val="008009BB"/>
    <w:rsid w:val="008A785E"/>
    <w:rsid w:val="00A7358C"/>
    <w:rsid w:val="00CB7CDC"/>
    <w:rsid w:val="00CE33BC"/>
    <w:rsid w:val="00CF5873"/>
    <w:rsid w:val="00D9410D"/>
    <w:rsid w:val="00DD2A37"/>
    <w:rsid w:val="00EE39AD"/>
    <w:rsid w:val="00F5544E"/>
    <w:rsid w:val="00FB0119"/>
    <w:rsid w:val="00FE1566"/>
    <w:rsid w:val="01642C13"/>
    <w:rsid w:val="08834594"/>
    <w:rsid w:val="09662577"/>
    <w:rsid w:val="0DBE12CA"/>
    <w:rsid w:val="0FE14661"/>
    <w:rsid w:val="10FD6493"/>
    <w:rsid w:val="17010C5D"/>
    <w:rsid w:val="1A357030"/>
    <w:rsid w:val="1A4D218F"/>
    <w:rsid w:val="1AF07157"/>
    <w:rsid w:val="1C536B8E"/>
    <w:rsid w:val="1DA72F47"/>
    <w:rsid w:val="24280900"/>
    <w:rsid w:val="255B6AB3"/>
    <w:rsid w:val="29AC5B2F"/>
    <w:rsid w:val="2A657350"/>
    <w:rsid w:val="34AD3DFE"/>
    <w:rsid w:val="3B1E43B3"/>
    <w:rsid w:val="40B3559D"/>
    <w:rsid w:val="421A26E1"/>
    <w:rsid w:val="492D067A"/>
    <w:rsid w:val="693D587C"/>
    <w:rsid w:val="6C452C4A"/>
    <w:rsid w:val="6C871509"/>
    <w:rsid w:val="6D897CE3"/>
    <w:rsid w:val="7254053D"/>
    <w:rsid w:val="760D2C4B"/>
    <w:rsid w:val="772A027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semiHidden="0"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semiHidden="0" w:name="footnote reference"/>
    <w:lsdException w:uiPriority="99" w:name="annotation reference"/>
    <w:lsdException w:uiPriority="99" w:name="line number"/>
    <w:lsdException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kern w:val="2"/>
      <w:sz w:val="21"/>
      <w:szCs w:val="22"/>
      <w:lang w:val="en-US" w:eastAsia="zh-CN" w:bidi="ar-SA"/>
    </w:rPr>
  </w:style>
  <w:style w:type="character" w:default="1" w:styleId="9">
    <w:name w:val="Default Paragraph Font"/>
    <w:unhideWhenUsed/>
    <w:uiPriority w:val="1"/>
  </w:style>
  <w:style w:type="table" w:default="1" w:styleId="8">
    <w:name w:val="Normal Table"/>
    <w:unhideWhenUsed/>
    <w:qFormat/>
    <w:uiPriority w:val="99"/>
    <w:tblPr>
      <w:tblStyle w:val="8"/>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link w:val="13"/>
    <w:unhideWhenUsed/>
    <w:uiPriority w:val="99"/>
    <w:pPr>
      <w:tabs>
        <w:tab w:val="center" w:pos="4153"/>
        <w:tab w:val="right" w:pos="8306"/>
      </w:tabs>
      <w:snapToGrid w:val="0"/>
      <w:jc w:val="left"/>
    </w:pPr>
    <w:rPr>
      <w:sz w:val="18"/>
      <w:szCs w:val="18"/>
    </w:rPr>
  </w:style>
  <w:style w:type="paragraph" w:styleId="4">
    <w:name w:val="header"/>
    <w:basedOn w:val="1"/>
    <w:link w:val="14"/>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unhideWhenUsed/>
    <w:uiPriority w:val="39"/>
  </w:style>
  <w:style w:type="paragraph" w:styleId="6">
    <w:name w:val="footnote text"/>
    <w:basedOn w:val="1"/>
    <w:link w:val="15"/>
    <w:unhideWhenUsed/>
    <w:uiPriority w:val="99"/>
    <w:pPr>
      <w:snapToGrid w:val="0"/>
      <w:jc w:val="left"/>
    </w:pPr>
    <w:rPr>
      <w:rFonts w:ascii="Calibri" w:hAnsi="Calibri" w:eastAsia="宋体" w:cs="Times New Roman"/>
      <w:sz w:val="18"/>
      <w:szCs w:val="18"/>
    </w:rPr>
  </w:style>
  <w:style w:type="paragraph" w:styleId="7">
    <w:name w:val="toc 2"/>
    <w:basedOn w:val="1"/>
    <w:next w:val="1"/>
    <w:unhideWhenUsed/>
    <w:uiPriority w:val="39"/>
    <w:pPr>
      <w:ind w:left="420" w:leftChars="200"/>
    </w:pPr>
  </w:style>
  <w:style w:type="character" w:styleId="10">
    <w:name w:val="page number"/>
    <w:basedOn w:val="9"/>
    <w:unhideWhenUsed/>
    <w:uiPriority w:val="99"/>
  </w:style>
  <w:style w:type="character" w:styleId="11">
    <w:name w:val="Hyperlink"/>
    <w:unhideWhenUsed/>
    <w:uiPriority w:val="99"/>
    <w:rPr>
      <w:color w:val="0000FF"/>
      <w:u w:val="single"/>
    </w:rPr>
  </w:style>
  <w:style w:type="character" w:styleId="12">
    <w:name w:val="footnote reference"/>
    <w:unhideWhenUsed/>
    <w:uiPriority w:val="99"/>
    <w:rPr>
      <w:vertAlign w:val="superscript"/>
    </w:rPr>
  </w:style>
  <w:style w:type="character" w:customStyle="1" w:styleId="13">
    <w:name w:val="页脚 Char"/>
    <w:link w:val="3"/>
    <w:uiPriority w:val="99"/>
    <w:rPr>
      <w:sz w:val="18"/>
      <w:szCs w:val="18"/>
    </w:rPr>
  </w:style>
  <w:style w:type="character" w:customStyle="1" w:styleId="14">
    <w:name w:val="页眉 Char"/>
    <w:link w:val="4"/>
    <w:uiPriority w:val="99"/>
    <w:rPr>
      <w:sz w:val="18"/>
      <w:szCs w:val="18"/>
    </w:rPr>
  </w:style>
  <w:style w:type="character" w:customStyle="1" w:styleId="15">
    <w:name w:val="脚注文本 Char"/>
    <w:link w:val="6"/>
    <w:semiHidden/>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14</Pages>
  <Words>3758</Words>
  <Characters>3897</Characters>
  <Lines>49</Lines>
  <Paragraphs>13</Paragraphs>
  <TotalTime>10</TotalTime>
  <ScaleCrop>false</ScaleCrop>
  <LinksUpToDate>false</LinksUpToDate>
  <CharactersWithSpaces>3916</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2019-03-04T01:12:00Z</dcterms:created>
  <dc:creator>988-4</dc:creator>
  <cp:lastModifiedBy>转身的松树</cp:lastModifiedBy>
  <cp:lastPrinted>2019-03-01T02:10:00Z</cp:lastPrinted>
  <dcterms:modified xsi:type="dcterms:W3CDTF">2024-11-26T02:02:37Z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B2401554BEEE4EBD90E8846EBE0F7898_13</vt:lpwstr>
  </property>
</Properties>
</file>