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石家庄市鹿泉区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2023年第一次跨部门“双随机、一公开”联合抽查工作总结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石家庄市鹿泉区2023年第一次跨部门“双随机、一公开”联合抽查实施方案》（石鹿双随机办〔2023〕4号)文件要求，为进一步规范律师行业和司法鉴定机构的执业行为，强化对法律服务机构监督管理，4月19日，鹿泉区司法局联合区市场监督管理局开展“双随机、一公开”执法监督检查工作，通过系统抽取方式，确定4名检查组人员，选取3家律师事务所和4家司法鉴定机构作为检查对象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现将检查情况总结如下：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河北诺杰律师事务所</w:t>
      </w:r>
      <w:r>
        <w:rPr>
          <w:rFonts w:hint="eastAsia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关于律所经营活动中，未发现问题。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2、河北弘宇律师事务所。关于律所经营活动中，未发现问题。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3、河北重信律师事务所。关于律所经营活动中，未发现问题。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4、河北中经天平司法鉴定中心。关于机构经营活动中，未发现问题。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5、河北华科大司法鉴定中心。关于机构经营活动中，未发现问题。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6、河北燕赵司法鉴定中心。关于机构经营活动中，未发现问题。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7、河北中旭生态环境损害法鉴定中心。关于机构经营活动中，未发现问题。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  <w:t>从检查情况看，我区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32"/>
          <w:szCs w:val="32"/>
          <w:shd w:val="clear" w:fill="FFFFFF"/>
          <w:lang w:val="en-US" w:eastAsia="zh-CN"/>
        </w:rPr>
        <w:t>3家律所、4家司法鉴定机构均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依法进行资质审批备案，不存在“空壳所”“僵尸所”，不存在律师、鉴定人不符合法定职业条件等情况；律师事务所合伙人制度、司法鉴定机构政治业务学习制度均已健全；律所、鉴定机构印章管理制度、统一收案收费制度均已落实；所有案件都是在律所管理系统上统一收案、审核、登记、收费，遇重大敏感案件按照要求集体研究并及时上报；律所、鉴定机构业务档案保管、公章、空白合同、财务章及公函使用情况，都严格按照律所的规章制度严格管理。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检查结束后，检查人员第一时间对“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双随机、一公开</w:t>
      </w:r>
      <w:bookmarkStart w:id="0" w:name="_GoBack"/>
      <w:bookmarkEnd w:id="0"/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”检查情况进行了系统录入，主动接受社会监督。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440" w:firstLineChars="17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石家庄市鹿泉区司法局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760" w:firstLineChars="18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2023年4月26日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0YTYzNWZiZGZjYzgzN2E5ZGQ0M2QyYTQ4ZWMwYTUifQ=="/>
  </w:docVars>
  <w:rsids>
    <w:rsidRoot w:val="00000000"/>
    <w:rsid w:val="27FE652A"/>
    <w:rsid w:val="2EDB03F3"/>
    <w:rsid w:val="3C06103B"/>
    <w:rsid w:val="42486658"/>
    <w:rsid w:val="54B53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iPriority="99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635</Words>
  <Characters>655</Characters>
  <Lines>0</Lines>
  <Paragraphs>0</Paragraphs>
  <TotalTime>1</TotalTime>
  <ScaleCrop>false</ScaleCrop>
  <LinksUpToDate>false</LinksUpToDate>
  <CharactersWithSpaces>655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2022-10-31T07:44:00Z</dcterms:created>
  <dc:creator>Administrator</dc:creator>
  <cp:lastModifiedBy>Administrator</cp:lastModifiedBy>
  <dcterms:modified xsi:type="dcterms:W3CDTF">2024-05-11T06:24:28Z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8DE54F1A366E4E1D96993FB03DEB2FD9_13</vt:lpwstr>
  </property>
</Properties>
</file>